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上海市闵行区气象局20</w:t>
      </w:r>
      <w:r>
        <w:rPr>
          <w:rFonts w:ascii="方正小标宋简体" w:hAnsi="宋体" w:eastAsia="方正小标宋简体" w:cs="宋体"/>
          <w:bCs/>
          <w:kern w:val="0"/>
          <w:sz w:val="44"/>
          <w:szCs w:val="44"/>
        </w:rPr>
        <w:t>2</w:t>
      </w:r>
      <w:r>
        <w:rPr>
          <w:rFonts w:hint="eastAsia" w:ascii="方正小标宋简体" w:hAnsi="宋体" w:eastAsia="方正小标宋简体" w:cs="宋体"/>
          <w:bCs/>
          <w:kern w:val="0"/>
          <w:sz w:val="44"/>
          <w:szCs w:val="44"/>
          <w:lang w:val="en-US" w:eastAsia="zh-CN"/>
        </w:rPr>
        <w:t>1</w:t>
      </w:r>
      <w:r>
        <w:rPr>
          <w:rFonts w:hint="eastAsia" w:ascii="方正小标宋简体" w:hAnsi="宋体" w:eastAsia="方正小标宋简体" w:cs="宋体"/>
          <w:bCs/>
          <w:kern w:val="0"/>
          <w:sz w:val="44"/>
          <w:szCs w:val="44"/>
        </w:rPr>
        <w:t>年度政府信息</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公开</w:t>
      </w:r>
      <w:r>
        <w:rPr>
          <w:rFonts w:hint="eastAsia" w:ascii="方正小标宋简体" w:hAnsi="宋体" w:eastAsia="方正小标宋简体" w:cs="宋体"/>
          <w:bCs/>
          <w:kern w:val="0"/>
          <w:sz w:val="44"/>
          <w:szCs w:val="44"/>
          <w:lang w:val="en-US" w:eastAsia="zh-CN"/>
        </w:rPr>
        <w:t>工作</w:t>
      </w:r>
      <w:r>
        <w:rPr>
          <w:rFonts w:hint="eastAsia" w:ascii="方正小标宋简体" w:hAnsi="宋体" w:eastAsia="方正小标宋简体" w:cs="宋体"/>
          <w:bCs/>
          <w:kern w:val="0"/>
          <w:sz w:val="44"/>
          <w:szCs w:val="44"/>
        </w:rPr>
        <w:t>年度报告</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宋体"/>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02"/>
        <w:textAlignment w:val="auto"/>
        <w:rPr>
          <w:rFonts w:hint="eastAsia" w:ascii="仿宋_GB2312" w:hAnsi="Calibri" w:eastAsia="仿宋_GB2312" w:cs="Times New Roman"/>
          <w:sz w:val="32"/>
          <w:szCs w:val="32"/>
          <w:shd w:val="clear" w:color="auto" w:fill="FFFFFF"/>
        </w:rPr>
      </w:pPr>
      <w:r>
        <w:rPr>
          <w:rFonts w:hint="eastAsia" w:ascii="仿宋_GB2312" w:hAnsi="Calibri" w:eastAsia="仿宋_GB2312" w:cs="Times New Roman"/>
          <w:sz w:val="32"/>
          <w:szCs w:val="32"/>
          <w:shd w:val="clear" w:color="auto" w:fill="FFFFFF"/>
        </w:rPr>
        <w:t>根据《</w:t>
      </w:r>
      <w:r>
        <w:rPr>
          <w:rFonts w:hint="eastAsia" w:ascii="仿宋_GB2312" w:hAnsi="Calibri" w:eastAsia="仿宋_GB2312" w:cs="Times New Roman"/>
          <w:sz w:val="32"/>
          <w:szCs w:val="32"/>
          <w:shd w:val="clear" w:color="auto" w:fill="FFFFFF"/>
          <w:lang w:eastAsia="zh-CN"/>
        </w:rPr>
        <w:t>上海市气象局办公室关于做好2021年政府信息公开年度报告发布工作的通知</w:t>
      </w:r>
      <w:r>
        <w:rPr>
          <w:rFonts w:hint="eastAsia" w:ascii="仿宋_GB2312" w:hAnsi="Calibri" w:eastAsia="仿宋_GB2312" w:cs="Times New Roman"/>
          <w:sz w:val="32"/>
          <w:szCs w:val="32"/>
          <w:shd w:val="clear" w:color="auto" w:fill="FFFFFF"/>
        </w:rPr>
        <w:t>》</w:t>
      </w:r>
      <w:r>
        <w:rPr>
          <w:rFonts w:hint="eastAsia" w:ascii="仿宋_GB2312" w:hAnsi="Calibri" w:eastAsia="仿宋_GB2312" w:cs="Times New Roman"/>
          <w:sz w:val="32"/>
          <w:szCs w:val="32"/>
          <w:shd w:val="clear" w:color="auto" w:fill="FFFFFF"/>
          <w:lang w:eastAsia="zh-CN"/>
        </w:rPr>
        <w:t>（</w:t>
      </w:r>
      <w:bookmarkStart w:id="0" w:name="文号"/>
      <w:bookmarkEnd w:id="0"/>
      <w:r>
        <w:rPr>
          <w:rFonts w:hint="eastAsia" w:ascii="仿宋_GB2312" w:hAnsi="Calibri" w:eastAsia="仿宋_GB2312" w:cs="Times New Roman"/>
          <w:sz w:val="32"/>
          <w:szCs w:val="32"/>
          <w:shd w:val="clear" w:color="auto" w:fill="FFFFFF"/>
          <w:lang w:eastAsia="zh-CN"/>
        </w:rPr>
        <w:t>沪气办函〔2021〕18号）</w:t>
      </w:r>
      <w:r>
        <w:rPr>
          <w:rFonts w:hint="eastAsia" w:ascii="仿宋_GB2312" w:hAnsi="Calibri" w:eastAsia="仿宋_GB2312" w:cs="Times New Roman"/>
          <w:sz w:val="32"/>
          <w:szCs w:val="32"/>
          <w:shd w:val="clear" w:color="auto" w:fill="FFFFFF"/>
        </w:rPr>
        <w:t>要求，闵行区气象局高度重视，对202</w:t>
      </w:r>
      <w:r>
        <w:rPr>
          <w:rFonts w:hint="eastAsia" w:ascii="仿宋_GB2312" w:hAnsi="Calibri" w:eastAsia="仿宋_GB2312" w:cs="Times New Roman"/>
          <w:sz w:val="32"/>
          <w:szCs w:val="32"/>
          <w:shd w:val="clear" w:color="auto" w:fill="FFFFFF"/>
          <w:lang w:val="en-US" w:eastAsia="zh-CN"/>
        </w:rPr>
        <w:t>1</w:t>
      </w:r>
      <w:r>
        <w:rPr>
          <w:rFonts w:hint="eastAsia" w:ascii="仿宋_GB2312" w:hAnsi="Calibri" w:eastAsia="仿宋_GB2312" w:cs="Times New Roman"/>
          <w:sz w:val="32"/>
          <w:szCs w:val="32"/>
          <w:shd w:val="clear" w:color="auto" w:fill="FFFFFF"/>
        </w:rPr>
        <w:t>年全年政府信息公开情况进行了统计，相关情况如下：</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156" w:afterLines="50" w:line="576" w:lineRule="exact"/>
        <w:ind w:firstLine="482"/>
        <w:textAlignment w:val="auto"/>
        <w:rPr>
          <w:rFonts w:ascii="黑体" w:hAnsi="黑体" w:eastAsia="黑体" w:cs="宋体"/>
          <w:kern w:val="0"/>
          <w:sz w:val="32"/>
          <w:szCs w:val="32"/>
        </w:rPr>
      </w:pPr>
      <w:r>
        <w:rPr>
          <w:rFonts w:hint="eastAsia" w:ascii="黑体" w:hAnsi="黑体" w:eastAsia="黑体" w:cs="宋体"/>
          <w:bCs/>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48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（一）主动公开方面</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02"/>
        <w:textAlignment w:val="auto"/>
        <w:rPr>
          <w:rFonts w:ascii="仿宋_GB2312" w:hAnsi="Calibri" w:eastAsia="仿宋_GB2312" w:cs="Times New Roman"/>
          <w:color w:val="000000" w:themeColor="text1"/>
          <w:sz w:val="32"/>
          <w:szCs w:val="32"/>
          <w:shd w:val="clear" w:color="auto" w:fill="FFFFFF"/>
          <w14:textFill>
            <w14:solidFill>
              <w14:schemeClr w14:val="tx1"/>
            </w14:solidFill>
          </w14:textFill>
        </w:rPr>
      </w:pPr>
      <w:r>
        <w:rPr>
          <w:rFonts w:hint="eastAsia" w:ascii="仿宋_GB2312" w:hAnsi="Calibri" w:eastAsia="仿宋_GB2312" w:cs="Times New Roman"/>
          <w:sz w:val="32"/>
          <w:szCs w:val="32"/>
          <w:shd w:val="clear" w:color="auto" w:fill="FFFFFF"/>
        </w:rPr>
        <w:t>20</w:t>
      </w:r>
      <w:r>
        <w:rPr>
          <w:rFonts w:ascii="仿宋_GB2312" w:hAnsi="Calibri" w:eastAsia="仿宋_GB2312" w:cs="Times New Roman"/>
          <w:sz w:val="32"/>
          <w:szCs w:val="32"/>
          <w:shd w:val="clear" w:color="auto" w:fill="FFFFFF"/>
        </w:rPr>
        <w:t>2</w:t>
      </w:r>
      <w:r>
        <w:rPr>
          <w:rFonts w:hint="eastAsia" w:ascii="仿宋_GB2312" w:hAnsi="Calibri" w:eastAsia="仿宋_GB2312" w:cs="Times New Roman"/>
          <w:sz w:val="32"/>
          <w:szCs w:val="32"/>
          <w:shd w:val="clear" w:color="auto" w:fill="FFFFFF"/>
          <w:lang w:val="en-US" w:eastAsia="zh-CN"/>
        </w:rPr>
        <w:t>1</w:t>
      </w:r>
      <w:r>
        <w:rPr>
          <w:rFonts w:hint="eastAsia" w:ascii="仿宋_GB2312" w:hAnsi="Calibri" w:eastAsia="仿宋_GB2312" w:cs="Times New Roman"/>
          <w:sz w:val="32"/>
          <w:szCs w:val="32"/>
          <w:shd w:val="clear" w:color="auto" w:fill="FFFFFF"/>
        </w:rPr>
        <w:t>年，闵行区气象局主动公开的政府信息内容主要有以下几种类型：部门概况、机构设置、常规天气预报、气象灾害预警信息、人事信息、政策法规等。全年主动公开各类政</w:t>
      </w:r>
      <w:r>
        <w:rPr>
          <w:rFonts w:hint="eastAsia" w:ascii="仿宋_GB2312" w:hAnsi="Calibri" w:eastAsia="仿宋_GB2312" w:cs="Times New Roman"/>
          <w:sz w:val="32"/>
          <w:szCs w:val="32"/>
          <w:highlight w:val="none"/>
          <w:shd w:val="clear" w:color="auto" w:fill="FFFFFF"/>
        </w:rPr>
        <w:t>府</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信息</w:t>
      </w:r>
      <w:r>
        <w:rPr>
          <w:rFonts w:hint="eastAsia" w:ascii="仿宋_GB2312" w:hAnsi="Calibri" w:eastAsia="仿宋_GB2312" w:cs="Times New Roman"/>
          <w:color w:val="000000" w:themeColor="text1"/>
          <w:sz w:val="32"/>
          <w:szCs w:val="32"/>
          <w:highlight w:val="none"/>
          <w:shd w:val="clear" w:color="auto" w:fill="FFFFFF"/>
          <w:lang w:val="en-US" w:eastAsia="zh-CN"/>
          <w14:textFill>
            <w14:solidFill>
              <w14:schemeClr w14:val="tx1"/>
            </w14:solidFill>
          </w14:textFill>
        </w:rPr>
        <w:t>18</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条，其中部门和机构介绍类</w:t>
      </w:r>
      <w:r>
        <w:rPr>
          <w:rFonts w:hint="eastAsia" w:ascii="仿宋_GB2312" w:hAnsi="Calibri" w:eastAsia="仿宋_GB2312" w:cs="Times New Roman"/>
          <w:sz w:val="32"/>
          <w:szCs w:val="32"/>
          <w:highlight w:val="none"/>
          <w:shd w:val="clear" w:color="auto" w:fill="FFFFFF"/>
          <w:lang w:val="en-US" w:eastAsia="zh-CN"/>
        </w:rPr>
        <w:t>8</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条、政策法规</w:t>
      </w:r>
      <w:r>
        <w:rPr>
          <w:rFonts w:ascii="仿宋_GB2312" w:hAnsi="Calibri" w:eastAsia="仿宋_GB2312" w:cs="Times New Roman"/>
          <w:color w:val="000000" w:themeColor="text1"/>
          <w:sz w:val="32"/>
          <w:szCs w:val="32"/>
          <w:highlight w:val="none"/>
          <w:shd w:val="clear" w:color="auto" w:fill="FFFFFF"/>
          <w14:textFill>
            <w14:solidFill>
              <w14:schemeClr w14:val="tx1"/>
            </w14:solidFill>
          </w14:textFill>
        </w:rPr>
        <w:t>2</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条、人事类信息</w:t>
      </w:r>
      <w:r>
        <w:rPr>
          <w:rFonts w:hint="eastAsia" w:ascii="仿宋_GB2312" w:hAnsi="Calibri" w:eastAsia="仿宋_GB2312" w:cs="Times New Roman"/>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条、公告类信息</w:t>
      </w:r>
      <w:r>
        <w:rPr>
          <w:rFonts w:hint="eastAsia" w:ascii="仿宋_GB2312" w:hAnsi="Calibri" w:eastAsia="仿宋_GB2312" w:cs="Times New Roman"/>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条</w:t>
      </w:r>
      <w:r>
        <w:rPr>
          <w:rFonts w:hint="eastAsia" w:ascii="仿宋_GB2312" w:hAnsi="Calibri" w:eastAsia="仿宋_GB2312" w:cs="Times New Roman"/>
          <w:color w:val="000000" w:themeColor="text1"/>
          <w:sz w:val="32"/>
          <w:szCs w:val="32"/>
          <w:shd w:val="clear" w:color="auto" w:fill="FFFFFF"/>
          <w14:textFill>
            <w14:solidFill>
              <w14:schemeClr w14:val="tx1"/>
            </w14:solidFill>
          </w14:textFill>
        </w:rPr>
        <w:t>，气象</w:t>
      </w:r>
      <w:r>
        <w:rPr>
          <w:rFonts w:hint="eastAsia" w:ascii="仿宋_GB2312" w:hAnsi="Calibri" w:eastAsia="仿宋_GB2312" w:cs="Times New Roman"/>
          <w:color w:val="000000" w:themeColor="text1"/>
          <w:sz w:val="32"/>
          <w:szCs w:val="32"/>
          <w:shd w:val="clear" w:color="auto" w:fill="FFFFFF"/>
          <w:lang w:val="en-US" w:eastAsia="zh-CN"/>
          <w14:textFill>
            <w14:solidFill>
              <w14:schemeClr w14:val="tx1"/>
            </w14:solidFill>
          </w14:textFill>
        </w:rPr>
        <w:t>专题</w:t>
      </w:r>
      <w:r>
        <w:rPr>
          <w:rFonts w:hint="eastAsia" w:ascii="仿宋_GB2312" w:hAnsi="Calibri" w:eastAsia="仿宋_GB2312" w:cs="Times New Roman"/>
          <w:color w:val="000000" w:themeColor="text1"/>
          <w:sz w:val="32"/>
          <w:szCs w:val="32"/>
          <w:shd w:val="clear" w:color="auto" w:fill="FFFFFF"/>
          <w14:textFill>
            <w14:solidFill>
              <w14:schemeClr w14:val="tx1"/>
            </w14:solidFill>
          </w14:textFill>
        </w:rPr>
        <w:t>服务</w:t>
      </w:r>
      <w:r>
        <w:rPr>
          <w:rFonts w:hint="eastAsia" w:ascii="仿宋_GB2312" w:hAnsi="Calibri" w:eastAsia="仿宋_GB2312" w:cs="Times New Roman"/>
          <w:color w:val="000000" w:themeColor="text1"/>
          <w:sz w:val="32"/>
          <w:szCs w:val="32"/>
          <w:shd w:val="clear" w:color="auto" w:fill="FFFFFF"/>
          <w:lang w:val="en-US" w:eastAsia="zh-CN"/>
          <w14:textFill>
            <w14:solidFill>
              <w14:schemeClr w14:val="tx1"/>
            </w14:solidFill>
          </w14:textFill>
        </w:rPr>
        <w:t>报告</w:t>
      </w:r>
      <w:r>
        <w:rPr>
          <w:rFonts w:hint="eastAsia" w:ascii="仿宋_GB2312" w:hAnsi="Calibri" w:eastAsia="仿宋_GB2312" w:cs="Times New Roman"/>
          <w:color w:val="000000" w:themeColor="text1"/>
          <w:sz w:val="32"/>
          <w:szCs w:val="32"/>
          <w:highlight w:val="none"/>
          <w:shd w:val="clear" w:color="auto" w:fill="FFFFFF"/>
          <w:lang w:val="en-US" w:eastAsia="zh-CN"/>
          <w14:textFill>
            <w14:solidFill>
              <w14:schemeClr w14:val="tx1"/>
            </w14:solidFill>
          </w14:textFill>
        </w:rPr>
        <w:t>148期</w:t>
      </w:r>
      <w:r>
        <w:rPr>
          <w:rFonts w:hint="eastAsia" w:ascii="仿宋_GB2312" w:hAnsi="Calibri" w:eastAsia="仿宋_GB2312" w:cs="Times New Roman"/>
          <w:color w:val="000000" w:themeColor="text1"/>
          <w:sz w:val="32"/>
          <w:szCs w:val="32"/>
          <w:shd w:val="clear" w:color="auto" w:fill="FFFFFF"/>
          <w14:textFill>
            <w14:solidFill>
              <w14:schemeClr w14:val="tx1"/>
            </w14:solidFill>
          </w14:textFill>
        </w:rPr>
        <w:t>，为农服务104期</w:t>
      </w:r>
      <w:r>
        <w:rPr>
          <w:rFonts w:hint="eastAsia" w:ascii="仿宋_GB2312" w:hAnsi="Calibri" w:eastAsia="仿宋_GB2312" w:cs="Times New Roman"/>
          <w:color w:val="000000" w:themeColor="text1"/>
          <w:sz w:val="32"/>
          <w:szCs w:val="32"/>
          <w:shd w:val="clear" w:color="auto" w:fill="FFFFFF"/>
          <w:lang w:eastAsia="zh-CN"/>
          <w14:textFill>
            <w14:solidFill>
              <w14:schemeClr w14:val="tx1"/>
            </w14:solidFill>
          </w14:textFill>
        </w:rPr>
        <w:t>，逐日天气预报157期，</w:t>
      </w:r>
      <w:r>
        <w:rPr>
          <w:rFonts w:hint="eastAsia" w:ascii="仿宋_GB2312" w:hAnsi="Calibri" w:eastAsia="仿宋_GB2312" w:cs="Times New Roman"/>
          <w:color w:val="000000" w:themeColor="text1"/>
          <w:sz w:val="32"/>
          <w:szCs w:val="32"/>
          <w:shd w:val="clear" w:color="auto" w:fill="FFFFFF"/>
          <w14:textFill>
            <w14:solidFill>
              <w14:schemeClr w14:val="tx1"/>
            </w14:solidFill>
          </w14:textFill>
        </w:rPr>
        <w:t>常规天气预报</w:t>
      </w:r>
      <w:r>
        <w:rPr>
          <w:rFonts w:hint="eastAsia" w:ascii="仿宋_GB2312" w:hAnsi="Calibri" w:eastAsia="仿宋_GB2312" w:cs="Times New Roman"/>
          <w:color w:val="000000" w:themeColor="text1"/>
          <w:sz w:val="32"/>
          <w:szCs w:val="32"/>
          <w:highlight w:val="none"/>
          <w:shd w:val="clear" w:color="auto" w:fill="FFFFFF"/>
          <w14:textFill>
            <w14:solidFill>
              <w14:schemeClr w14:val="tx1"/>
            </w14:solidFill>
          </w14:textFill>
        </w:rPr>
        <w:t>1095</w:t>
      </w:r>
      <w:r>
        <w:rPr>
          <w:rFonts w:hint="eastAsia" w:ascii="仿宋_GB2312" w:hAnsi="Calibri" w:eastAsia="仿宋_GB2312" w:cs="Times New Roman"/>
          <w:color w:val="000000" w:themeColor="text1"/>
          <w:sz w:val="32"/>
          <w:szCs w:val="32"/>
          <w:shd w:val="clear" w:color="auto" w:fill="FFFFFF"/>
          <w14:textFill>
            <w14:solidFill>
              <w14:schemeClr w14:val="tx1"/>
            </w14:solidFill>
          </w14:textFill>
        </w:rPr>
        <w:t>条（每天更新发布三次）、灾害性天气预报预警信息</w:t>
      </w:r>
      <w:r>
        <w:rPr>
          <w:rFonts w:hint="eastAsia" w:ascii="仿宋_GB2312" w:hAnsi="Calibri" w:eastAsia="仿宋_GB2312" w:cs="Times New Roman"/>
          <w:color w:val="000000" w:themeColor="text1"/>
          <w:sz w:val="32"/>
          <w:szCs w:val="32"/>
          <w:highlight w:val="none"/>
          <w:shd w:val="clear" w:color="auto" w:fill="FFFFFF"/>
          <w:lang w:val="en-US" w:eastAsia="zh-CN"/>
          <w14:textFill>
            <w14:solidFill>
              <w14:schemeClr w14:val="tx1"/>
            </w14:solidFill>
          </w14:textFill>
        </w:rPr>
        <w:t>354</w:t>
      </w:r>
      <w:r>
        <w:rPr>
          <w:rFonts w:hint="eastAsia" w:ascii="仿宋_GB2312" w:hAnsi="Calibri" w:eastAsia="仿宋_GB2312" w:cs="Times New Roman"/>
          <w:color w:val="000000" w:themeColor="text1"/>
          <w:sz w:val="32"/>
          <w:szCs w:val="32"/>
          <w:shd w:val="clear" w:color="auto" w:fill="FFFFFF"/>
          <w14:textFill>
            <w14:solidFill>
              <w14:schemeClr w14:val="tx1"/>
            </w14:solidFill>
          </w14:textFill>
        </w:rPr>
        <w:t>条。</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（二）依申请公开方面</w:t>
      </w:r>
    </w:p>
    <w:p>
      <w:pPr>
        <w:keepNext w:val="0"/>
        <w:keepLines w:val="0"/>
        <w:pageBreakBefore w:val="0"/>
        <w:widowControl/>
        <w:kinsoku/>
        <w:wordWrap/>
        <w:overflowPunct/>
        <w:topLinePunct w:val="0"/>
        <w:autoSpaceDE/>
        <w:autoSpaceDN/>
        <w:bidi w:val="0"/>
        <w:adjustRightInd/>
        <w:snapToGrid/>
        <w:spacing w:after="143" w:line="576" w:lineRule="exact"/>
        <w:ind w:firstLine="640" w:firstLineChars="200"/>
        <w:jc w:val="left"/>
        <w:textAlignment w:val="auto"/>
        <w:rPr>
          <w:rFonts w:ascii="仿宋_GB2312" w:hAnsi="宋体" w:eastAsia="仿宋_GB2312" w:cs="宋体"/>
          <w:kern w:val="0"/>
          <w:sz w:val="32"/>
          <w:szCs w:val="32"/>
        </w:rPr>
      </w:pPr>
      <w:r>
        <w:rPr>
          <w:rFonts w:hint="eastAsia" w:ascii="仿宋_GB2312" w:hAnsi="Calibri" w:eastAsia="仿宋_GB2312" w:cs="Times New Roman"/>
          <w:sz w:val="32"/>
          <w:szCs w:val="32"/>
          <w:shd w:val="clear" w:color="auto" w:fill="FFFFFF"/>
        </w:rPr>
        <w:t>20</w:t>
      </w:r>
      <w:r>
        <w:rPr>
          <w:rFonts w:ascii="仿宋_GB2312" w:hAnsi="Calibri" w:eastAsia="仿宋_GB2312" w:cs="Times New Roman"/>
          <w:sz w:val="32"/>
          <w:szCs w:val="32"/>
          <w:shd w:val="clear" w:color="auto" w:fill="FFFFFF"/>
        </w:rPr>
        <w:t>2</w:t>
      </w:r>
      <w:r>
        <w:rPr>
          <w:rFonts w:hint="eastAsia" w:ascii="仿宋_GB2312" w:hAnsi="Calibri" w:eastAsia="仿宋_GB2312" w:cs="Times New Roman"/>
          <w:sz w:val="32"/>
          <w:szCs w:val="32"/>
          <w:shd w:val="clear" w:color="auto" w:fill="FFFFFF"/>
          <w:lang w:val="en-US" w:eastAsia="zh-CN"/>
        </w:rPr>
        <w:t>1</w:t>
      </w:r>
      <w:r>
        <w:rPr>
          <w:rFonts w:hint="eastAsia" w:ascii="仿宋_GB2312" w:hAnsi="Calibri" w:eastAsia="仿宋_GB2312" w:cs="Times New Roman"/>
          <w:sz w:val="32"/>
          <w:szCs w:val="32"/>
          <w:shd w:val="clear" w:color="auto" w:fill="FFFFFF"/>
        </w:rPr>
        <w:t>年闵行区气象局共受理政府信息公开申请0件。年内无政府信息公开行政复议、行政诉讼等情况。</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_GB2312" w:eastAsia="仿宋_GB2312" w:cs="仿宋_GB2312"/>
          <w:sz w:val="32"/>
          <w:szCs w:val="32"/>
        </w:rPr>
        <w:t>政府信息管理方面</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40" w:firstLineChars="200"/>
        <w:jc w:val="left"/>
        <w:textAlignment w:val="auto"/>
        <w:rPr>
          <w:rFonts w:ascii="仿宋_GB2312" w:hAnsi="宋体" w:eastAsia="仿宋_GB2312" w:cs="宋体"/>
          <w:kern w:val="0"/>
          <w:sz w:val="32"/>
          <w:szCs w:val="32"/>
        </w:rPr>
      </w:pPr>
      <w:r>
        <w:rPr>
          <w:rFonts w:hint="eastAsia" w:ascii="仿宋_GB2312" w:hAnsi="Calibri" w:eastAsia="仿宋_GB2312" w:cs="Times New Roman"/>
          <w:sz w:val="32"/>
          <w:szCs w:val="32"/>
          <w:shd w:val="clear" w:color="auto" w:fill="FFFFFF"/>
        </w:rPr>
        <w:t>规范公文公开属性源头认定和发布审查，所有公文通过公文系统进行起草，经分管领导和主要领导审核通过后再予以印发，促进了政府信息标准化规范化信息化管理。</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（四）平台建设情况</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02"/>
        <w:jc w:val="left"/>
        <w:textAlignment w:val="auto"/>
        <w:rPr>
          <w:rFonts w:ascii="仿宋_GB2312" w:hAnsi="宋体" w:eastAsia="仿宋_GB2312" w:cs="宋体"/>
          <w:kern w:val="0"/>
          <w:sz w:val="32"/>
          <w:szCs w:val="32"/>
        </w:rPr>
      </w:pPr>
      <w:r>
        <w:rPr>
          <w:rFonts w:hint="eastAsia" w:ascii="仿宋_GB2312" w:hAnsi="Calibri" w:eastAsia="仿宋_GB2312" w:cs="Times New Roman"/>
          <w:sz w:val="32"/>
          <w:szCs w:val="32"/>
          <w:shd w:val="clear" w:color="auto" w:fill="FFFFFF"/>
        </w:rPr>
        <w:t>闵行区气象局信息公开的主要平台是门户网站，该网站为“上海气象”门户网站子网，网站建设由上海市气象局统一布局建设维护</w:t>
      </w:r>
      <w:r>
        <w:rPr>
          <w:rFonts w:hint="eastAsia" w:ascii="仿宋_GB2312" w:hAnsi="Calibri" w:eastAsia="仿宋_GB2312" w:cs="Times New Roman"/>
          <w:sz w:val="32"/>
          <w:szCs w:val="32"/>
          <w:shd w:val="clear" w:color="auto" w:fill="FFFFFF"/>
          <w:lang w:eastAsia="zh-CN"/>
        </w:rPr>
        <w:t>，</w:t>
      </w:r>
      <w:r>
        <w:rPr>
          <w:rFonts w:hint="eastAsia" w:ascii="仿宋_GB2312" w:hAnsi="宋体" w:eastAsia="仿宋_GB2312"/>
          <w:sz w:val="32"/>
          <w:szCs w:val="32"/>
        </w:rPr>
        <w:t>以党建、文明创建和气象服务宣传工作为主</w:t>
      </w:r>
      <w:r>
        <w:rPr>
          <w:rFonts w:hint="eastAsia" w:ascii="仿宋_GB2312" w:hAnsi="Calibri" w:eastAsia="仿宋_GB2312" w:cs="Times New Roman"/>
          <w:sz w:val="32"/>
          <w:szCs w:val="32"/>
          <w:shd w:val="clear" w:color="auto" w:fill="FFFFFF"/>
        </w:rPr>
        <w:t>。另外，单位内部的信息公开手段主要是宣传栏。</w:t>
      </w:r>
    </w:p>
    <w:p>
      <w:pPr>
        <w:keepNext w:val="0"/>
        <w:keepLines w:val="0"/>
        <w:pageBreakBefore w:val="0"/>
        <w:widowControl/>
        <w:shd w:val="clear" w:color="auto" w:fill="FFFFFF"/>
        <w:kinsoku/>
        <w:wordWrap/>
        <w:overflowPunct/>
        <w:topLinePunct w:val="0"/>
        <w:autoSpaceDE/>
        <w:autoSpaceDN/>
        <w:bidi w:val="0"/>
        <w:adjustRightInd/>
        <w:snapToGrid/>
        <w:spacing w:after="143" w:line="576"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（五）监督保障情况</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ascii="仿宋_GB2312" w:hAnsi="宋体" w:eastAsia="仿宋_GB2312" w:cs="宋体"/>
          <w:kern w:val="0"/>
          <w:sz w:val="32"/>
          <w:szCs w:val="32"/>
        </w:rPr>
      </w:pPr>
      <w:r>
        <w:rPr>
          <w:rFonts w:hint="eastAsia" w:ascii="仿宋_GB2312" w:hAnsi="Calibri" w:eastAsia="仿宋_GB2312" w:cs="Times New Roman"/>
          <w:sz w:val="32"/>
          <w:szCs w:val="32"/>
          <w:shd w:val="clear" w:color="auto" w:fill="FFFFFF"/>
        </w:rPr>
        <w:t>闵行区气象局严格按照相关要求做好政务公开工作，配备2名兼职工作人员，负责信息发布和审核工作。年终对政务信息公开工作进行考核,对未按要求公开信息的及时予以整改，对违反《条例》、《规定》的其他行为及时纠正。</w:t>
      </w:r>
    </w:p>
    <w:p>
      <w:pPr>
        <w:keepNext w:val="0"/>
        <w:keepLines w:val="0"/>
        <w:pageBreakBefore w:val="0"/>
        <w:widowControl/>
        <w:shd w:val="clear" w:color="auto" w:fill="FFFFFF"/>
        <w:kinsoku/>
        <w:wordWrap/>
        <w:overflowPunct/>
        <w:topLinePunct w:val="0"/>
        <w:autoSpaceDE/>
        <w:autoSpaceDN/>
        <w:bidi w:val="0"/>
        <w:adjustRightInd/>
        <w:snapToGrid/>
        <w:spacing w:after="240" w:line="576" w:lineRule="exact"/>
        <w:ind w:firstLine="480"/>
        <w:textAlignment w:val="auto"/>
        <w:rPr>
          <w:rFonts w:ascii="黑体" w:hAnsi="黑体" w:eastAsia="黑体" w:cs="宋体"/>
          <w:kern w:val="0"/>
          <w:sz w:val="32"/>
          <w:szCs w:val="32"/>
        </w:rPr>
      </w:pPr>
      <w:r>
        <w:rPr>
          <w:rFonts w:hint="eastAsia" w:ascii="黑体" w:hAnsi="黑体" w:eastAsia="黑体" w:cs="宋体"/>
          <w:bCs/>
          <w:kern w:val="0"/>
          <w:sz w:val="32"/>
          <w:szCs w:val="32"/>
        </w:rPr>
        <w:t>二、主动公开政府信息情况</w:t>
      </w:r>
    </w:p>
    <w:tbl>
      <w:tblPr>
        <w:tblStyle w:val="6"/>
        <w:tblW w:w="8800" w:type="dxa"/>
        <w:jc w:val="center"/>
        <w:tblLayout w:type="fixed"/>
        <w:tblCellMar>
          <w:top w:w="0" w:type="dxa"/>
          <w:left w:w="0" w:type="dxa"/>
          <w:bottom w:w="0" w:type="dxa"/>
          <w:right w:w="0" w:type="dxa"/>
        </w:tblCellMar>
      </w:tblPr>
      <w:tblGrid>
        <w:gridCol w:w="2200"/>
        <w:gridCol w:w="2200"/>
        <w:gridCol w:w="2200"/>
        <w:gridCol w:w="2200"/>
      </w:tblGrid>
      <w:tr>
        <w:tblPrEx>
          <w:tblCellMar>
            <w:top w:w="0" w:type="dxa"/>
            <w:left w:w="0" w:type="dxa"/>
            <w:bottom w:w="0" w:type="dxa"/>
            <w:right w:w="0" w:type="dxa"/>
          </w:tblCellMar>
        </w:tblPrEx>
        <w:trPr>
          <w:trHeight w:val="531" w:hRule="atLeast"/>
          <w:jc w:val="center"/>
        </w:trPr>
        <w:tc>
          <w:tcPr>
            <w:tcW w:w="880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方正黑体_GBK" w:hAnsi="方正黑体_GBK" w:eastAsia="方正黑体_GBK" w:cs="方正黑体_GBK"/>
                <w:color w:val="auto"/>
                <w:kern w:val="0"/>
                <w:sz w:val="24"/>
                <w:szCs w:val="24"/>
              </w:rPr>
              <w:t>第二十条第（一）项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信息内容</w:t>
            </w:r>
          </w:p>
        </w:tc>
        <w:tc>
          <w:tcPr>
            <w:tcW w:w="220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本年</w:t>
            </w:r>
            <w:r>
              <w:rPr>
                <w:rFonts w:ascii="宋体" w:hAnsi="宋体" w:eastAsia="宋体" w:cs="宋体"/>
                <w:b/>
                <w:bCs/>
                <w:color w:val="auto"/>
                <w:kern w:val="0"/>
                <w:sz w:val="20"/>
                <w:szCs w:val="20"/>
              </w:rPr>
              <w:t>制</w:t>
            </w:r>
            <w:r>
              <w:rPr>
                <w:rFonts w:hint="eastAsia" w:ascii="宋体" w:hAnsi="宋体" w:eastAsia="宋体" w:cs="宋体"/>
                <w:b/>
                <w:bCs/>
                <w:color w:val="auto"/>
                <w:kern w:val="0"/>
                <w:sz w:val="20"/>
                <w:szCs w:val="20"/>
              </w:rPr>
              <w:t>发件</w:t>
            </w:r>
            <w:r>
              <w:rPr>
                <w:rFonts w:ascii="宋体" w:hAnsi="宋体" w:eastAsia="宋体" w:cs="宋体"/>
                <w:b/>
                <w:bCs/>
                <w:color w:val="auto"/>
                <w:kern w:val="0"/>
                <w:sz w:val="20"/>
                <w:szCs w:val="20"/>
              </w:rPr>
              <w:t>数</w:t>
            </w:r>
          </w:p>
        </w:tc>
        <w:tc>
          <w:tcPr>
            <w:tcW w:w="220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本年废止件数</w:t>
            </w:r>
          </w:p>
        </w:tc>
        <w:tc>
          <w:tcPr>
            <w:tcW w:w="220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现行有效件</w:t>
            </w:r>
            <w:r>
              <w:rPr>
                <w:rFonts w:ascii="宋体" w:hAnsi="宋体" w:eastAsia="宋体" w:cs="宋体"/>
                <w:b/>
                <w:bCs/>
                <w:color w:val="auto"/>
                <w:kern w:val="0"/>
                <w:sz w:val="20"/>
                <w:szCs w:val="20"/>
              </w:rPr>
              <w:t>数</w:t>
            </w:r>
          </w:p>
        </w:tc>
      </w:tr>
      <w:tr>
        <w:tblPrEx>
          <w:tblCellMar>
            <w:top w:w="0" w:type="dxa"/>
            <w:left w:w="0" w:type="dxa"/>
            <w:bottom w:w="0" w:type="dxa"/>
            <w:right w:w="0" w:type="dxa"/>
          </w:tblCellMar>
        </w:tblPrEx>
        <w:trPr>
          <w:trHeight w:val="895"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规章</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95"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行政规范性文件</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0"/>
                <w:szCs w:val="20"/>
                <w:lang w:val="en-US" w:eastAsia="zh-CN"/>
              </w:rPr>
              <w:t>0</w:t>
            </w:r>
            <w:r>
              <w:rPr>
                <w:rFonts w:hint="eastAsia" w:ascii="楷体_GB2312" w:hAnsi="楷体_GB2312" w:eastAsia="楷体_GB2312" w:cs="楷体_GB2312"/>
                <w:color w:val="auto"/>
                <w:kern w:val="0"/>
                <w:sz w:val="20"/>
                <w:szCs w:val="20"/>
              </w:rPr>
              <w:t>　　</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0"/>
                <w:szCs w:val="20"/>
                <w:lang w:val="en-US" w:eastAsia="zh-CN"/>
              </w:rPr>
              <w:t>0</w:t>
            </w:r>
          </w:p>
        </w:tc>
        <w:tc>
          <w:tcPr>
            <w:tcW w:w="2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方正黑体_GBK" w:hAnsi="方正黑体_GBK" w:eastAsia="方正黑体_GBK" w:cs="方正黑体_GBK"/>
                <w:color w:val="auto"/>
                <w:kern w:val="0"/>
                <w:sz w:val="24"/>
                <w:szCs w:val="24"/>
              </w:rPr>
              <w:t>第二十条第（五）项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信息内容</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本年处理决定数量</w:t>
            </w:r>
          </w:p>
        </w:tc>
      </w:tr>
      <w:tr>
        <w:tblPrEx>
          <w:tblCellMar>
            <w:top w:w="0" w:type="dxa"/>
            <w:left w:w="0" w:type="dxa"/>
            <w:bottom w:w="0" w:type="dxa"/>
            <w:right w:w="0" w:type="dxa"/>
          </w:tblCellMar>
        </w:tblPrEx>
        <w:trPr>
          <w:trHeight w:val="618"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b/>
                <w:bCs/>
                <w:color w:val="auto"/>
                <w:kern w:val="0"/>
                <w:sz w:val="20"/>
                <w:szCs w:val="20"/>
              </w:rPr>
              <w:t>行政许可</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方正黑体_GBK" w:hAnsi="方正黑体_GBK" w:eastAsia="方正黑体_GBK" w:cs="方正黑体_GBK"/>
                <w:color w:val="auto"/>
                <w:kern w:val="0"/>
                <w:sz w:val="24"/>
                <w:szCs w:val="24"/>
              </w:rPr>
              <w:t>第二十条第（六）项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信息内容</w:t>
            </w:r>
          </w:p>
        </w:tc>
        <w:tc>
          <w:tcPr>
            <w:tcW w:w="6600"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本年处理决定数量</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行政处罚</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行政强制</w:t>
            </w:r>
          </w:p>
        </w:tc>
        <w:tc>
          <w:tcPr>
            <w:tcW w:w="660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0"/>
                <w:szCs w:val="20"/>
                <w:lang w:val="en-US" w:eastAsia="zh-CN"/>
              </w:rPr>
              <w:t>0</w:t>
            </w:r>
          </w:p>
        </w:tc>
      </w:tr>
      <w:tr>
        <w:tblPrEx>
          <w:tblCellMar>
            <w:top w:w="0" w:type="dxa"/>
            <w:left w:w="0" w:type="dxa"/>
            <w:bottom w:w="0" w:type="dxa"/>
            <w:right w:w="0" w:type="dxa"/>
          </w:tblCellMar>
        </w:tblPrEx>
        <w:trPr>
          <w:trHeight w:val="531" w:hRule="atLeast"/>
          <w:jc w:val="center"/>
        </w:trPr>
        <w:tc>
          <w:tcPr>
            <w:tcW w:w="88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方正黑体_GBK" w:hAnsi="方正黑体_GBK" w:eastAsia="方正黑体_GBK" w:cs="方正黑体_GBK"/>
                <w:color w:val="auto"/>
                <w:kern w:val="0"/>
                <w:sz w:val="24"/>
                <w:szCs w:val="24"/>
              </w:rPr>
              <w:t>第二十条第（八）项</w:t>
            </w:r>
          </w:p>
        </w:tc>
      </w:tr>
      <w:tr>
        <w:tblPrEx>
          <w:tblCellMar>
            <w:top w:w="0" w:type="dxa"/>
            <w:left w:w="0" w:type="dxa"/>
            <w:bottom w:w="0" w:type="dxa"/>
            <w:right w:w="0" w:type="dxa"/>
          </w:tblCellMar>
        </w:tblPrEx>
        <w:trPr>
          <w:trHeight w:val="531"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信息内容</w:t>
            </w:r>
          </w:p>
        </w:tc>
        <w:tc>
          <w:tcPr>
            <w:tcW w:w="660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本年收费金额（单位：万元）</w:t>
            </w:r>
          </w:p>
        </w:tc>
      </w:tr>
      <w:tr>
        <w:tblPrEx>
          <w:tblCellMar>
            <w:top w:w="0" w:type="dxa"/>
            <w:left w:w="0" w:type="dxa"/>
            <w:bottom w:w="0" w:type="dxa"/>
            <w:right w:w="0" w:type="dxa"/>
          </w:tblCellMar>
        </w:tblPrEx>
        <w:trPr>
          <w:trHeight w:val="587" w:hRule="atLeast"/>
          <w:jc w:val="center"/>
        </w:trPr>
        <w:tc>
          <w:tcPr>
            <w:tcW w:w="220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宋体" w:hAnsi="宋体" w:eastAsia="宋体" w:cs="宋体"/>
                <w:b/>
                <w:bCs/>
                <w:color w:val="auto"/>
                <w:kern w:val="0"/>
                <w:sz w:val="20"/>
                <w:szCs w:val="20"/>
              </w:rPr>
              <w:t>行政事业性收费</w:t>
            </w:r>
          </w:p>
        </w:tc>
        <w:tc>
          <w:tcPr>
            <w:tcW w:w="660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szCs w:val="24"/>
              </w:rPr>
            </w:pPr>
            <w:r>
              <w:rPr>
                <w:rFonts w:hint="eastAsia" w:ascii="楷体_GB2312" w:hAnsi="楷体_GB2312" w:eastAsia="楷体_GB2312" w:cs="楷体_GB2312"/>
                <w:color w:val="auto"/>
                <w:kern w:val="0"/>
                <w:sz w:val="20"/>
                <w:szCs w:val="20"/>
                <w:lang w:val="en-US" w:eastAsia="zh-CN"/>
              </w:rPr>
              <w:t>0.00</w:t>
            </w:r>
          </w:p>
        </w:tc>
      </w:tr>
    </w:tbl>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240" w:line="576" w:lineRule="exact"/>
        <w:ind w:firstLine="480"/>
        <w:textAlignment w:val="auto"/>
        <w:rPr>
          <w:rFonts w:ascii="黑体" w:hAnsi="黑体" w:eastAsia="黑体" w:cs="宋体"/>
          <w:kern w:val="0"/>
          <w:sz w:val="32"/>
          <w:szCs w:val="32"/>
        </w:rPr>
      </w:pPr>
      <w:r>
        <w:rPr>
          <w:rFonts w:hint="eastAsia" w:ascii="黑体" w:hAnsi="黑体" w:eastAsia="黑体" w:cs="宋体"/>
          <w:bCs/>
          <w:kern w:val="0"/>
          <w:sz w:val="32"/>
          <w:szCs w:val="32"/>
        </w:rPr>
        <w:t>三、收到和处理政府信息公开申请情况</w:t>
      </w:r>
    </w:p>
    <w:tbl>
      <w:tblPr>
        <w:tblStyle w:val="6"/>
        <w:tblW w:w="8471" w:type="dxa"/>
        <w:jc w:val="center"/>
        <w:tblLayout w:type="fixed"/>
        <w:tblCellMar>
          <w:top w:w="0" w:type="dxa"/>
          <w:left w:w="0" w:type="dxa"/>
          <w:bottom w:w="0" w:type="dxa"/>
          <w:right w:w="0" w:type="dxa"/>
        </w:tblCellMar>
      </w:tblPr>
      <w:tblGrid>
        <w:gridCol w:w="839"/>
        <w:gridCol w:w="902"/>
        <w:gridCol w:w="2305"/>
        <w:gridCol w:w="466"/>
        <w:gridCol w:w="693"/>
        <w:gridCol w:w="644"/>
        <w:gridCol w:w="756"/>
        <w:gridCol w:w="834"/>
        <w:gridCol w:w="516"/>
        <w:gridCol w:w="516"/>
      </w:tblGrid>
      <w:tr>
        <w:tblPrEx>
          <w:tblCellMar>
            <w:top w:w="0" w:type="dxa"/>
            <w:left w:w="0" w:type="dxa"/>
            <w:bottom w:w="0" w:type="dxa"/>
            <w:right w:w="0" w:type="dxa"/>
          </w:tblCellMar>
        </w:tblPrEx>
        <w:trPr>
          <w:jc w:val="center"/>
        </w:trPr>
        <w:tc>
          <w:tcPr>
            <w:tcW w:w="404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 w:val="24"/>
                <w:szCs w:val="24"/>
              </w:rPr>
            </w:pPr>
            <w:r>
              <w:rPr>
                <w:rFonts w:hint="eastAsia" w:ascii="楷体" w:hAnsi="楷体" w:eastAsia="楷体" w:cs="宋体"/>
                <w:color w:val="auto"/>
                <w:kern w:val="0"/>
                <w:sz w:val="20"/>
                <w:szCs w:val="20"/>
              </w:rPr>
              <w:t>（本列数据的勾稽关系为：第一项加第二项之和，等于第三项加第四项之和）</w:t>
            </w:r>
          </w:p>
        </w:tc>
        <w:tc>
          <w:tcPr>
            <w:tcW w:w="4425"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申请人情况</w:t>
            </w:r>
          </w:p>
        </w:tc>
      </w:tr>
      <w:tr>
        <w:tblPrEx>
          <w:tblCellMar>
            <w:top w:w="0" w:type="dxa"/>
            <w:left w:w="0" w:type="dxa"/>
            <w:bottom w:w="0" w:type="dxa"/>
            <w:right w:w="0" w:type="dxa"/>
          </w:tblCellMar>
        </w:tblPrEx>
        <w:trPr>
          <w:jc w:val="center"/>
        </w:trPr>
        <w:tc>
          <w:tcPr>
            <w:tcW w:w="40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466"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自然人</w:t>
            </w:r>
          </w:p>
        </w:tc>
        <w:tc>
          <w:tcPr>
            <w:tcW w:w="3443"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法人或其他组织</w:t>
            </w:r>
          </w:p>
        </w:tc>
        <w:tc>
          <w:tcPr>
            <w:tcW w:w="516"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总计</w:t>
            </w:r>
          </w:p>
        </w:tc>
      </w:tr>
      <w:tr>
        <w:tblPrEx>
          <w:tblCellMar>
            <w:top w:w="0" w:type="dxa"/>
            <w:left w:w="0" w:type="dxa"/>
            <w:bottom w:w="0" w:type="dxa"/>
            <w:right w:w="0" w:type="dxa"/>
          </w:tblCellMar>
        </w:tblPrEx>
        <w:trPr>
          <w:jc w:val="center"/>
        </w:trPr>
        <w:tc>
          <w:tcPr>
            <w:tcW w:w="40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szCs w:val="24"/>
              </w:rPr>
            </w:pPr>
          </w:p>
        </w:tc>
        <w:tc>
          <w:tcPr>
            <w:tcW w:w="46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企业</w:t>
            </w:r>
          </w:p>
        </w:tc>
        <w:tc>
          <w:tcPr>
            <w:tcW w:w="64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机构</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社会公益组织</w:t>
            </w:r>
          </w:p>
        </w:tc>
        <w:tc>
          <w:tcPr>
            <w:tcW w:w="83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法律服务机构</w:t>
            </w:r>
          </w:p>
        </w:tc>
        <w:tc>
          <w:tcPr>
            <w:tcW w:w="51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其他</w:t>
            </w:r>
          </w:p>
        </w:tc>
        <w:tc>
          <w:tcPr>
            <w:tcW w:w="51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r>
      <w:tr>
        <w:tblPrEx>
          <w:tblCellMar>
            <w:top w:w="0" w:type="dxa"/>
            <w:left w:w="0" w:type="dxa"/>
            <w:bottom w:w="0" w:type="dxa"/>
            <w:right w:w="0" w:type="dxa"/>
          </w:tblCellMar>
        </w:tblPrEx>
        <w:trPr>
          <w:trHeight w:val="587" w:hRule="atLeast"/>
          <w:jc w:val="center"/>
        </w:trPr>
        <w:tc>
          <w:tcPr>
            <w:tcW w:w="4046"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一、本年新收政府信息公开申请数量</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4046"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二、上年结转政府信息公开申请数量</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24" w:hRule="atLeast"/>
          <w:jc w:val="center"/>
        </w:trPr>
        <w:tc>
          <w:tcPr>
            <w:tcW w:w="839" w:type="dxa"/>
            <w:vMerge w:val="restar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三、本年度办理结果</w:t>
            </w:r>
          </w:p>
        </w:tc>
        <w:tc>
          <w:tcPr>
            <w:tcW w:w="3207"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（一）予以公开</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3207"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（二）部分公开</w:t>
            </w:r>
            <w:r>
              <w:rPr>
                <w:rFonts w:hint="eastAsia" w:ascii="楷体" w:hAnsi="楷体" w:eastAsia="楷体" w:cs="宋体"/>
                <w:b/>
                <w:bCs/>
                <w:color w:val="auto"/>
                <w:kern w:val="0"/>
                <w:sz w:val="20"/>
                <w:szCs w:val="20"/>
              </w:rPr>
              <w:t>（区分处理的，只计这一情形，不计其他情形）</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649"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（三）不予公开</w:t>
            </w: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1.属于国家秘密</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2.其他法律行政法规禁止公开</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3.危及“三安全一稳定”</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4.保护第三方合法权益</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5.属于三类内部事务信息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6.属于四类过程性信息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7.属于行政执法案卷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8.属于行政查询事项</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（四）无法提供</w:t>
            </w: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1.本机关不掌握相关政府信息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2.没有现成信息需要另行制作</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楷体_GB2312" w:hAnsi="楷体_GB2312" w:eastAsia="楷体_GB2312" w:cs="楷体_GB2312"/>
                <w:color w:val="auto"/>
                <w:kern w:val="0"/>
                <w:sz w:val="20"/>
                <w:szCs w:val="20"/>
                <w:lang w:val="en-US"/>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3.补正后申请内容仍不明确</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楷体_GB2312" w:hAnsi="楷体_GB2312" w:eastAsia="楷体_GB2312" w:cs="楷体_GB2312"/>
                <w:color w:val="auto"/>
                <w:kern w:val="0"/>
                <w:sz w:val="20"/>
                <w:szCs w:val="20"/>
                <w:lang w:val="en-US"/>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（五）不予处理</w:t>
            </w: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1.信访举报投诉类申请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62"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2.重复申请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3.要求提供公开出版物</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4.无正当理由大量反复申请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楷体_GB2312" w:hAnsi="楷体_GB2312" w:eastAsia="楷体_GB2312" w:cs="楷体_GB2312"/>
                <w:color w:val="auto"/>
                <w:kern w:val="0"/>
                <w:sz w:val="24"/>
                <w:szCs w:val="24"/>
                <w:lang w:val="en-US"/>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5.要求行政机关确认或重新出具已获取信息</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auto"/>
                <w:kern w:val="0"/>
                <w:sz w:val="24"/>
                <w:szCs w:val="24"/>
                <w:lang w:val="en-US"/>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（六）其他处理</w:t>
            </w: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1.申请人无正当理由逾期不补正、行政机关不再处理其政府信息公开申请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szCs w:val="24"/>
                <w:lang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2.申请人逾期未按收费通知要求缴纳费用、行政机关不再处理其政府信息公开申请</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699"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9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230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3.其他</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szCs w:val="24"/>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500" w:hRule="atLeast"/>
          <w:jc w:val="center"/>
        </w:trPr>
        <w:tc>
          <w:tcPr>
            <w:tcW w:w="83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3207"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（七）总计</w:t>
            </w:r>
          </w:p>
        </w:tc>
        <w:tc>
          <w:tcPr>
            <w:tcW w:w="46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6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64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83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51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c>
          <w:tcPr>
            <w:tcW w:w="51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0"/>
                <w:szCs w:val="20"/>
                <w:lang w:val="en-US" w:eastAsia="zh-CN"/>
              </w:rPr>
            </w:pPr>
            <w:r>
              <w:rPr>
                <w:rFonts w:hint="eastAsia" w:ascii="楷体_GB2312" w:hAnsi="楷体_GB2312" w:eastAsia="楷体_GB2312" w:cs="楷体_GB2312"/>
                <w:color w:val="auto"/>
                <w:kern w:val="0"/>
                <w:sz w:val="20"/>
                <w:szCs w:val="20"/>
                <w:lang w:val="en-US" w:eastAsia="zh-CN"/>
              </w:rPr>
              <w:t>0</w:t>
            </w:r>
          </w:p>
        </w:tc>
      </w:tr>
      <w:tr>
        <w:tblPrEx>
          <w:tblCellMar>
            <w:top w:w="0" w:type="dxa"/>
            <w:left w:w="0" w:type="dxa"/>
            <w:bottom w:w="0" w:type="dxa"/>
            <w:right w:w="0" w:type="dxa"/>
          </w:tblCellMar>
        </w:tblPrEx>
        <w:trPr>
          <w:trHeight w:val="732" w:hRule="atLeast"/>
          <w:jc w:val="center"/>
        </w:trPr>
        <w:tc>
          <w:tcPr>
            <w:tcW w:w="4046"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四、结转下年度继续办理</w:t>
            </w:r>
          </w:p>
        </w:tc>
        <w:tc>
          <w:tcPr>
            <w:tcW w:w="4425" w:type="dxa"/>
            <w:gridSpan w:val="7"/>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textAlignment w:val="auto"/>
        <w:rPr>
          <w:rFonts w:ascii="黑体" w:hAnsi="黑体" w:eastAsia="黑体" w:cs="宋体"/>
          <w:kern w:val="0"/>
          <w:sz w:val="32"/>
          <w:szCs w:val="32"/>
        </w:rPr>
      </w:pPr>
      <w:r>
        <w:rPr>
          <w:rFonts w:hint="eastAsia" w:ascii="黑体" w:hAnsi="黑体" w:eastAsia="黑体" w:cs="宋体"/>
          <w:bCs/>
          <w:kern w:val="0"/>
          <w:sz w:val="32"/>
          <w:szCs w:val="32"/>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textAlignment w:val="auto"/>
        <w:rPr>
          <w:rFonts w:ascii="宋体" w:hAnsi="宋体" w:eastAsia="宋体" w:cs="宋体"/>
          <w:color w:val="333333"/>
          <w:kern w:val="0"/>
          <w:sz w:val="24"/>
          <w:szCs w:val="24"/>
        </w:rPr>
      </w:pPr>
    </w:p>
    <w:tbl>
      <w:tblPr>
        <w:tblStyle w:val="6"/>
        <w:tblW w:w="9748" w:type="dxa"/>
        <w:jc w:val="cente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结果</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其他</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尚未</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b/>
                <w:bCs/>
                <w:color w:val="auto"/>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结果</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结果</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其他</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尚未</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结果</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结果</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其他</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尚未</w:t>
            </w:r>
            <w:r>
              <w:rPr>
                <w:rFonts w:hint="eastAsia" w:ascii="宋体" w:hAnsi="宋体" w:eastAsia="宋体" w:cs="宋体"/>
                <w:b/>
                <w:bCs/>
                <w:color w:val="auto"/>
                <w:kern w:val="0"/>
                <w:sz w:val="20"/>
                <w:szCs w:val="20"/>
              </w:rPr>
              <w:br w:type="textWrapping"/>
            </w:r>
            <w:r>
              <w:rPr>
                <w:rFonts w:hint="eastAsia" w:ascii="宋体" w:hAnsi="宋体" w:eastAsia="宋体" w:cs="宋体"/>
                <w:b/>
                <w:bCs/>
                <w:color w:val="auto"/>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b/>
                <w:bCs/>
                <w:color w:val="auto"/>
                <w:kern w:val="0"/>
                <w:sz w:val="24"/>
                <w:szCs w:val="24"/>
              </w:rPr>
            </w:pPr>
            <w:r>
              <w:rPr>
                <w:rFonts w:hint="eastAsia" w:ascii="宋体" w:hAnsi="宋体" w:eastAsia="宋体" w:cs="宋体"/>
                <w:b/>
                <w:bCs/>
                <w:color w:val="auto"/>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76" w:lineRule="exact"/>
        <w:jc w:val="center"/>
        <w:textAlignment w:val="auto"/>
        <w:rPr>
          <w:rFonts w:ascii="宋体" w:hAnsi="宋体" w:eastAsia="宋体" w:cs="宋体"/>
          <w:color w:val="333333"/>
          <w:kern w:val="0"/>
          <w:sz w:val="24"/>
          <w:szCs w:val="24"/>
        </w:rPr>
      </w:pPr>
      <w:bookmarkStart w:id="1" w:name="_GoBack"/>
      <w:bookmarkEnd w:id="1"/>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textAlignment w:val="auto"/>
        <w:rPr>
          <w:rFonts w:ascii="黑体" w:hAnsi="黑体" w:eastAsia="黑体" w:cs="宋体"/>
          <w:kern w:val="0"/>
          <w:sz w:val="32"/>
          <w:szCs w:val="32"/>
        </w:rPr>
      </w:pPr>
      <w:r>
        <w:rPr>
          <w:rFonts w:hint="eastAsia" w:ascii="黑体" w:hAnsi="黑体" w:eastAsia="黑体" w:cs="宋体"/>
          <w:bCs/>
          <w:kern w:val="0"/>
          <w:sz w:val="32"/>
          <w:szCs w:val="32"/>
        </w:rPr>
        <w:t>五、存在的主要问题及改进情况</w:t>
      </w:r>
    </w:p>
    <w:p>
      <w:pPr>
        <w:pStyle w:val="5"/>
        <w:keepNext w:val="0"/>
        <w:keepLines w:val="0"/>
        <w:pageBreakBefore w:val="0"/>
        <w:kinsoku/>
        <w:wordWrap/>
        <w:overflowPunct/>
        <w:topLinePunct w:val="0"/>
        <w:autoSpaceDE/>
        <w:autoSpaceDN/>
        <w:bidi w:val="0"/>
        <w:adjustRightInd/>
        <w:snapToGrid/>
        <w:spacing w:after="0" w:line="576" w:lineRule="exact"/>
        <w:ind w:firstLine="600"/>
        <w:jc w:val="both"/>
        <w:textAlignment w:val="auto"/>
        <w:rPr>
          <w:rFonts w:ascii="仿宋_GB2312" w:hAnsi="Calibri" w:eastAsia="仿宋_GB2312" w:cs="Arial"/>
          <w:sz w:val="32"/>
          <w:szCs w:val="32"/>
        </w:rPr>
      </w:pPr>
      <w:r>
        <w:rPr>
          <w:rFonts w:hint="eastAsia" w:ascii="仿宋_GB2312" w:hAnsi="仿宋" w:eastAsia="仿宋_GB2312" w:cs="Arial"/>
          <w:sz w:val="32"/>
          <w:szCs w:val="32"/>
        </w:rPr>
        <w:t>我局在政府信息公开工作方面还存在着诸多不足。一是政务信息公开的内容有待进一步完善，更新维护</w:t>
      </w:r>
      <w:r>
        <w:rPr>
          <w:rFonts w:hint="eastAsia" w:ascii="仿宋_GB2312" w:hAnsi="仿宋" w:eastAsia="仿宋_GB2312" w:cs="Arial"/>
          <w:sz w:val="32"/>
          <w:szCs w:val="32"/>
          <w:lang w:val="en-US" w:eastAsia="zh-CN"/>
        </w:rPr>
        <w:t>频率</w:t>
      </w:r>
      <w:r>
        <w:rPr>
          <w:rFonts w:hint="eastAsia" w:ascii="仿宋_GB2312" w:hAnsi="仿宋" w:eastAsia="仿宋_GB2312" w:cs="Arial"/>
          <w:sz w:val="32"/>
          <w:szCs w:val="32"/>
        </w:rPr>
        <w:t>有待进一步加强；二是公开的内容和渠道还不够丰富，形式不够多样。</w:t>
      </w:r>
    </w:p>
    <w:p>
      <w:pPr>
        <w:pStyle w:val="5"/>
        <w:keepNext w:val="0"/>
        <w:keepLines w:val="0"/>
        <w:pageBreakBefore w:val="0"/>
        <w:shd w:val="clear" w:color="auto" w:fill="FFFFFF"/>
        <w:kinsoku/>
        <w:wordWrap/>
        <w:overflowPunct/>
        <w:topLinePunct w:val="0"/>
        <w:autoSpaceDE/>
        <w:autoSpaceDN/>
        <w:bidi w:val="0"/>
        <w:adjustRightInd/>
        <w:snapToGrid/>
        <w:spacing w:after="0" w:line="576" w:lineRule="exact"/>
        <w:ind w:firstLine="640" w:firstLineChars="200"/>
        <w:jc w:val="both"/>
        <w:textAlignment w:val="auto"/>
        <w:rPr>
          <w:rFonts w:ascii="仿宋_GB2312" w:hAnsi="仿宋" w:eastAsia="仿宋_GB2312" w:cs="Arial"/>
          <w:sz w:val="32"/>
          <w:szCs w:val="32"/>
        </w:rPr>
      </w:pPr>
      <w:r>
        <w:rPr>
          <w:rFonts w:hint="eastAsia" w:ascii="仿宋_GB2312" w:hAnsi="仿宋" w:eastAsia="仿宋_GB2312" w:cs="Arial"/>
          <w:sz w:val="32"/>
          <w:szCs w:val="32"/>
        </w:rPr>
        <w:t>202</w:t>
      </w:r>
      <w:r>
        <w:rPr>
          <w:rFonts w:hint="eastAsia" w:ascii="仿宋_GB2312" w:hAnsi="仿宋" w:eastAsia="仿宋_GB2312" w:cs="Arial"/>
          <w:sz w:val="32"/>
          <w:szCs w:val="32"/>
          <w:lang w:val="en-US" w:eastAsia="zh-CN"/>
        </w:rPr>
        <w:t>2</w:t>
      </w:r>
      <w:r>
        <w:rPr>
          <w:rFonts w:hint="eastAsia" w:ascii="仿宋_GB2312" w:hAnsi="仿宋" w:eastAsia="仿宋_GB2312" w:cs="Arial"/>
          <w:sz w:val="32"/>
          <w:szCs w:val="32"/>
        </w:rPr>
        <w:t>年我局将进一步重视和规范政府信息公开的工作，</w:t>
      </w:r>
      <w:r>
        <w:rPr>
          <w:rFonts w:hint="eastAsia" w:ascii="仿宋_GB2312" w:hAnsi="仿宋" w:eastAsia="仿宋_GB2312" w:cs="Arial"/>
          <w:sz w:val="32"/>
          <w:szCs w:val="32"/>
          <w:lang w:val="en-US" w:eastAsia="zh-CN"/>
        </w:rPr>
        <w:t>一</w:t>
      </w:r>
      <w:r>
        <w:rPr>
          <w:rFonts w:hint="eastAsia" w:ascii="仿宋_GB2312" w:hAnsi="仿宋" w:eastAsia="仿宋_GB2312" w:cs="Arial"/>
          <w:sz w:val="32"/>
          <w:szCs w:val="32"/>
        </w:rPr>
        <w:t>是进一步规范工作流程。梳理好所掌握的政务信息，及时更新，定期维护，确保政务信息公开工作能按照既定的工作流程有效运作，便于公众能够方便查询</w:t>
      </w:r>
      <w:r>
        <w:rPr>
          <w:rFonts w:hint="eastAsia" w:ascii="仿宋_GB2312" w:hAnsi="仿宋" w:eastAsia="仿宋_GB2312" w:cs="Arial"/>
          <w:sz w:val="32"/>
          <w:szCs w:val="32"/>
          <w:lang w:eastAsia="zh-CN"/>
        </w:rPr>
        <w:t>。</w:t>
      </w:r>
      <w:r>
        <w:rPr>
          <w:rFonts w:hint="eastAsia" w:ascii="仿宋_GB2312" w:hAnsi="仿宋" w:eastAsia="仿宋_GB2312" w:cs="Arial"/>
          <w:sz w:val="32"/>
          <w:szCs w:val="32"/>
          <w:lang w:val="en-US" w:eastAsia="zh-CN"/>
        </w:rPr>
        <w:t>二是</w:t>
      </w:r>
      <w:r>
        <w:rPr>
          <w:rFonts w:hint="eastAsia" w:ascii="仿宋_GB2312" w:hAnsi="仿宋" w:eastAsia="仿宋_GB2312" w:cs="Arial"/>
          <w:sz w:val="32"/>
          <w:szCs w:val="32"/>
        </w:rPr>
        <w:t>不断拓展和扩大政府公开的内容和渠道，丰富公开形式，</w:t>
      </w:r>
      <w:r>
        <w:rPr>
          <w:rFonts w:hint="eastAsia" w:ascii="仿宋_GB2312" w:hAnsi="仿宋" w:eastAsia="仿宋_GB2312" w:cs="Arial"/>
          <w:sz w:val="32"/>
          <w:szCs w:val="32"/>
          <w:lang w:val="en-US" w:eastAsia="zh-CN"/>
        </w:rPr>
        <w:t>应用新媒体</w:t>
      </w:r>
      <w:r>
        <w:rPr>
          <w:rFonts w:hint="eastAsia" w:ascii="仿宋_GB2312" w:hAnsi="仿宋" w:eastAsia="仿宋_GB2312" w:cs="Arial"/>
          <w:sz w:val="32"/>
          <w:szCs w:val="32"/>
        </w:rPr>
        <w:t>努力提升我局政府信息公开工作的效率和公信力。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textAlignment w:val="auto"/>
        <w:rPr>
          <w:rFonts w:ascii="黑体" w:hAnsi="黑体" w:eastAsia="黑体" w:cs="宋体"/>
          <w:kern w:val="0"/>
          <w:sz w:val="32"/>
          <w:szCs w:val="32"/>
        </w:rPr>
      </w:pPr>
      <w:r>
        <w:rPr>
          <w:rFonts w:hint="eastAsia" w:ascii="黑体" w:hAnsi="黑体" w:eastAsia="黑体" w:cs="宋体"/>
          <w:bCs/>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年度闵行区气象局门户网站除了每天发布闵行区天气预报和不定时发布气象预警以外，还发布各类天气实况监测数据，包括自动站、雷达与卫星气象资料。</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6" w:lineRule="exact"/>
        <w:ind w:firstLine="640"/>
        <w:jc w:val="both"/>
        <w:rPr>
          <w:rFonts w:hint="eastAsia" w:ascii="仿宋_GB2312" w:hAnsi="宋体" w:eastAsia="仿宋_GB2312" w:cs="Times New Roman"/>
          <w:sz w:val="32"/>
          <w:szCs w:val="32"/>
          <w:lang w:val="en-US" w:eastAsia="zh-CN"/>
        </w:rPr>
      </w:pPr>
      <w:r>
        <w:rPr>
          <w:rFonts w:hint="eastAsia" w:ascii="仿宋_GB2312" w:hAnsi="宋体" w:eastAsia="仿宋_GB2312" w:cs="宋体"/>
          <w:kern w:val="0"/>
          <w:sz w:val="32"/>
          <w:szCs w:val="32"/>
          <w:lang w:val="en-US" w:eastAsia="zh-CN"/>
        </w:rPr>
        <w:t>2021年度</w:t>
      </w:r>
      <w:r>
        <w:rPr>
          <w:rFonts w:hint="eastAsia" w:ascii="仿宋_GB2312" w:hAnsi="宋体" w:eastAsia="仿宋_GB2312" w:cs="宋体"/>
          <w:kern w:val="0"/>
          <w:sz w:val="32"/>
          <w:szCs w:val="32"/>
        </w:rPr>
        <w:t>闵行区气象局</w:t>
      </w:r>
      <w:r>
        <w:rPr>
          <w:rFonts w:hint="eastAsia" w:ascii="仿宋_GB2312" w:hAnsi="宋体" w:eastAsia="仿宋_GB2312" w:cs="宋体"/>
          <w:kern w:val="0"/>
          <w:sz w:val="32"/>
          <w:szCs w:val="32"/>
          <w:lang w:val="en-US" w:eastAsia="zh-CN"/>
        </w:rPr>
        <w:t>新申请</w:t>
      </w:r>
      <w:r>
        <w:rPr>
          <w:rFonts w:hint="eastAsia" w:ascii="仿宋_GB2312" w:hAnsi="宋体" w:eastAsia="仿宋_GB2312"/>
          <w:sz w:val="32"/>
          <w:szCs w:val="32"/>
          <w:lang w:val="en-US" w:eastAsia="zh-CN"/>
        </w:rPr>
        <w:t>“闵行气象”公众号，预期2022年投入使用，计划</w:t>
      </w:r>
      <w:r>
        <w:rPr>
          <w:rFonts w:hint="eastAsia" w:ascii="仿宋_GB2312" w:hAnsi="宋体" w:eastAsia="仿宋_GB2312" w:cs="Times New Roman"/>
          <w:sz w:val="32"/>
          <w:szCs w:val="32"/>
          <w:lang w:val="en-US" w:eastAsia="zh-CN"/>
        </w:rPr>
        <w:t>在防灾减灾、气象科普中发挥更加</w:t>
      </w:r>
      <w:r>
        <w:rPr>
          <w:rFonts w:hint="eastAsia" w:ascii="仿宋_GB2312" w:hAnsi="宋体" w:eastAsia="仿宋_GB2312"/>
          <w:sz w:val="32"/>
          <w:szCs w:val="32"/>
          <w:lang w:val="en-US" w:eastAsia="zh-CN"/>
        </w:rPr>
        <w:t>积极的</w:t>
      </w:r>
      <w:r>
        <w:rPr>
          <w:rFonts w:hint="eastAsia" w:ascii="仿宋_GB2312" w:hAnsi="宋体" w:eastAsia="仿宋_GB2312" w:cs="Times New Roman"/>
          <w:sz w:val="32"/>
          <w:szCs w:val="32"/>
          <w:lang w:val="en-US" w:eastAsia="zh-CN"/>
        </w:rPr>
        <w:t>作用。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2"/>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上海市闵行区气象局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93D206E-55A0-46A6-8D35-9FE8A26AA042}"/>
  </w:font>
  <w:font w:name="黑体">
    <w:panose1 w:val="02010609060101010101"/>
    <w:charset w:val="86"/>
    <w:family w:val="auto"/>
    <w:pitch w:val="default"/>
    <w:sig w:usb0="800002BF" w:usb1="38CF7CFA" w:usb2="00000016" w:usb3="00000000" w:csb0="00040001" w:csb1="00000000"/>
    <w:embedRegular r:id="rId2" w:fontKey="{F88F2FD0-50A7-49F6-9C52-1B77082EB6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239BFD4-6587-4731-93EB-8A1BD3D0F8CC}"/>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4" w:fontKey="{7A3E2F64-8CC2-4609-9C50-3FDF8805CDBA}"/>
  </w:font>
  <w:font w:name="仿宋_GB2312">
    <w:panose1 w:val="02010609030101010101"/>
    <w:charset w:val="86"/>
    <w:family w:val="modern"/>
    <w:pitch w:val="default"/>
    <w:sig w:usb0="00000001" w:usb1="080E0000" w:usb2="00000000" w:usb3="00000000" w:csb0="00040000" w:csb1="00000000"/>
    <w:embedRegular r:id="rId5" w:fontKey="{81AAC694-EEE1-4868-898F-5320F0FF294C}"/>
  </w:font>
  <w:font w:name="楷体">
    <w:panose1 w:val="02010609060101010101"/>
    <w:charset w:val="86"/>
    <w:family w:val="modern"/>
    <w:pitch w:val="default"/>
    <w:sig w:usb0="800002BF" w:usb1="38CF7CFA" w:usb2="00000016" w:usb3="00000000" w:csb0="00040001" w:csb1="00000000"/>
    <w:embedRegular r:id="rId6" w:fontKey="{A4A077E0-DD1F-4B85-B166-E60D9DFEA1E1}"/>
  </w:font>
  <w:font w:name="仿宋">
    <w:panose1 w:val="02010609060101010101"/>
    <w:charset w:val="86"/>
    <w:family w:val="modern"/>
    <w:pitch w:val="default"/>
    <w:sig w:usb0="800002BF" w:usb1="38CF7CFA" w:usb2="00000016" w:usb3="00000000" w:csb0="00040001" w:csb1="00000000"/>
    <w:embedRegular r:id="rId7" w:fontKey="{B2793163-0F14-4FE2-8848-1BDEFDD5F0B9}"/>
  </w:font>
  <w:font w:name="方正黑体_GBK">
    <w:altName w:val="微软雅黑"/>
    <w:panose1 w:val="02000000000000000000"/>
    <w:charset w:val="86"/>
    <w:family w:val="auto"/>
    <w:pitch w:val="default"/>
    <w:sig w:usb0="00000000" w:usb1="00000000" w:usb2="00000000" w:usb3="00000000" w:csb0="00040000" w:csb1="00000000"/>
    <w:embedRegular r:id="rId8" w:fontKey="{B35FF161-BF3B-4E49-92F6-89DB45203F1A}"/>
  </w:font>
  <w:font w:name="楷体_GB2312">
    <w:panose1 w:val="02010609030101010101"/>
    <w:charset w:val="86"/>
    <w:family w:val="auto"/>
    <w:pitch w:val="default"/>
    <w:sig w:usb0="00000001" w:usb1="080E0000" w:usb2="00000000" w:usb3="00000000" w:csb0="00040000" w:csb1="00000000"/>
    <w:embedRegular r:id="rId9" w:fontKey="{694820F5-1715-496E-9941-7F891F73E7FC}"/>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FC"/>
    <w:rsid w:val="00096482"/>
    <w:rsid w:val="00170D08"/>
    <w:rsid w:val="001B2269"/>
    <w:rsid w:val="001D3BA5"/>
    <w:rsid w:val="001D4B7C"/>
    <w:rsid w:val="001F4C8B"/>
    <w:rsid w:val="00216D5B"/>
    <w:rsid w:val="002D4A38"/>
    <w:rsid w:val="002F3A31"/>
    <w:rsid w:val="003905E1"/>
    <w:rsid w:val="004659A6"/>
    <w:rsid w:val="004D4720"/>
    <w:rsid w:val="005156B2"/>
    <w:rsid w:val="005846D0"/>
    <w:rsid w:val="005D11CF"/>
    <w:rsid w:val="00665B26"/>
    <w:rsid w:val="0067679B"/>
    <w:rsid w:val="0072451C"/>
    <w:rsid w:val="0072609A"/>
    <w:rsid w:val="007E4E4A"/>
    <w:rsid w:val="008334D0"/>
    <w:rsid w:val="0083423E"/>
    <w:rsid w:val="009234AE"/>
    <w:rsid w:val="00967E3E"/>
    <w:rsid w:val="009C5FE9"/>
    <w:rsid w:val="00A162D7"/>
    <w:rsid w:val="00A16F51"/>
    <w:rsid w:val="00C5048F"/>
    <w:rsid w:val="00CC1330"/>
    <w:rsid w:val="00E070F7"/>
    <w:rsid w:val="00E440FC"/>
    <w:rsid w:val="00EA1248"/>
    <w:rsid w:val="00ED3F99"/>
    <w:rsid w:val="00F36CB2"/>
    <w:rsid w:val="00F44743"/>
    <w:rsid w:val="00FD05CB"/>
    <w:rsid w:val="01BC1AB4"/>
    <w:rsid w:val="031B5A06"/>
    <w:rsid w:val="03515076"/>
    <w:rsid w:val="04742EC9"/>
    <w:rsid w:val="04FE63B4"/>
    <w:rsid w:val="055C757F"/>
    <w:rsid w:val="0E14371C"/>
    <w:rsid w:val="11FC1E77"/>
    <w:rsid w:val="13EC23C1"/>
    <w:rsid w:val="13F02EB7"/>
    <w:rsid w:val="15B0292B"/>
    <w:rsid w:val="18AA5F66"/>
    <w:rsid w:val="20783067"/>
    <w:rsid w:val="20955F9C"/>
    <w:rsid w:val="230001E7"/>
    <w:rsid w:val="23011949"/>
    <w:rsid w:val="271A7A1C"/>
    <w:rsid w:val="279F0387"/>
    <w:rsid w:val="2A2D56D7"/>
    <w:rsid w:val="2DDD7A66"/>
    <w:rsid w:val="2ED05CE1"/>
    <w:rsid w:val="2EEE7428"/>
    <w:rsid w:val="30A20287"/>
    <w:rsid w:val="41CB2EBC"/>
    <w:rsid w:val="423473DA"/>
    <w:rsid w:val="42D379D2"/>
    <w:rsid w:val="4C8C2DF5"/>
    <w:rsid w:val="52777D48"/>
    <w:rsid w:val="57DF1965"/>
    <w:rsid w:val="5ADB55DF"/>
    <w:rsid w:val="5C5E4709"/>
    <w:rsid w:val="5D790EF3"/>
    <w:rsid w:val="5DD96721"/>
    <w:rsid w:val="5FF22CD5"/>
    <w:rsid w:val="604B1B6A"/>
    <w:rsid w:val="61120392"/>
    <w:rsid w:val="62966D01"/>
    <w:rsid w:val="656516FF"/>
    <w:rsid w:val="68D856FF"/>
    <w:rsid w:val="69C725FB"/>
    <w:rsid w:val="706E5AAD"/>
    <w:rsid w:val="73103520"/>
    <w:rsid w:val="74033C58"/>
    <w:rsid w:val="7B6C587B"/>
    <w:rsid w:val="7BD340F0"/>
    <w:rsid w:val="7EE5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Microsoft YaHei UI" w:eastAsia="Microsoft YaHei UI"/>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after="143"/>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Char Char Char Char"/>
    <w:basedOn w:val="2"/>
    <w:qFormat/>
    <w:uiPriority w:val="0"/>
    <w:pPr>
      <w:shd w:val="clear" w:color="auto" w:fill="000080"/>
    </w:pPr>
    <w:rPr>
      <w:rFonts w:ascii="Tahoma" w:hAnsi="Tahoma" w:eastAsia="宋体" w:cs="Tahoma"/>
      <w:sz w:val="24"/>
      <w:szCs w:val="24"/>
    </w:rPr>
  </w:style>
  <w:style w:type="character" w:customStyle="1" w:styleId="11">
    <w:name w:val="文档结构图 字符"/>
    <w:basedOn w:val="7"/>
    <w:link w:val="2"/>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358</Words>
  <Characters>2045</Characters>
  <Lines>17</Lines>
  <Paragraphs>4</Paragraphs>
  <TotalTime>0</TotalTime>
  <ScaleCrop>false</ScaleCrop>
  <LinksUpToDate>false</LinksUpToDate>
  <CharactersWithSpaces>2399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2020-02-19T06:40:00Z</dcterms:created>
  <dc:creator>刘敏(拟稿)</dc:creator>
  <cp:lastModifiedBy>彭小胖</cp:lastModifiedBy>
  <dcterms:modified xsi:type="dcterms:W3CDTF">2022-01-21T09:21:41Z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916C55DF8E23470AB4A066205F17DE8F</vt:lpwstr>
  </property>
</Properties>
</file>