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eastAsia="华文中宋"/>
          <w:b/>
          <w:sz w:val="44"/>
          <w:szCs w:val="44"/>
        </w:rPr>
      </w:pPr>
      <w:r>
        <w:rPr>
          <w:rFonts w:hint="eastAsia" w:eastAsia="华文中宋"/>
          <w:b/>
          <w:sz w:val="44"/>
          <w:szCs w:val="44"/>
        </w:rPr>
        <w:t>宝山区气象事业发展“十三五”规划</w:t>
      </w:r>
    </w:p>
    <w:p>
      <w:pPr>
        <w:spacing w:line="240" w:lineRule="auto"/>
        <w:jc w:val="center"/>
        <w:rPr>
          <w:rFonts w:eastAsia="华文中宋"/>
          <w:b/>
          <w:sz w:val="44"/>
          <w:szCs w:val="44"/>
        </w:rPr>
      </w:pPr>
      <w:r>
        <w:rPr>
          <w:rFonts w:hint="eastAsia" w:eastAsia="华文中宋"/>
          <w:b/>
          <w:sz w:val="44"/>
          <w:szCs w:val="44"/>
        </w:rPr>
        <w:t>（报批稿）</w:t>
      </w:r>
    </w:p>
    <w:p>
      <w:pPr>
        <w:spacing w:line="360" w:lineRule="auto"/>
        <w:jc w:val="center"/>
        <w:rPr>
          <w:rFonts w:ascii="华文中宋" w:hAnsi="华文中宋" w:eastAsia="华文中宋"/>
          <w:sz w:val="36"/>
          <w:szCs w:val="36"/>
        </w:rPr>
      </w:pPr>
    </w:p>
    <w:p>
      <w:pPr>
        <w:spacing w:line="360" w:lineRule="auto"/>
        <w:jc w:val="center"/>
        <w:rPr>
          <w:rFonts w:ascii="华文中宋" w:hAnsi="华文中宋" w:eastAsia="华文中宋"/>
          <w:sz w:val="36"/>
          <w:szCs w:val="36"/>
        </w:rPr>
      </w:pPr>
    </w:p>
    <w:p>
      <w:pPr>
        <w:spacing w:line="360" w:lineRule="auto"/>
        <w:jc w:val="center"/>
        <w:rPr>
          <w:rFonts w:ascii="华文中宋" w:hAnsi="华文中宋" w:eastAsia="华文中宋"/>
          <w:sz w:val="36"/>
          <w:szCs w:val="36"/>
        </w:rPr>
      </w:pPr>
    </w:p>
    <w:p>
      <w:pPr>
        <w:spacing w:line="360" w:lineRule="auto"/>
        <w:jc w:val="center"/>
        <w:rPr>
          <w:rFonts w:ascii="华文中宋" w:hAnsi="华文中宋" w:eastAsia="华文中宋"/>
          <w:sz w:val="36"/>
          <w:szCs w:val="36"/>
        </w:rPr>
      </w:pPr>
    </w:p>
    <w:p>
      <w:pPr>
        <w:spacing w:line="360" w:lineRule="auto"/>
        <w:jc w:val="center"/>
        <w:rPr>
          <w:rFonts w:ascii="华文中宋" w:hAnsi="华文中宋" w:eastAsia="华文中宋"/>
          <w:sz w:val="36"/>
          <w:szCs w:val="36"/>
        </w:rPr>
      </w:pPr>
    </w:p>
    <w:p>
      <w:pPr>
        <w:spacing w:line="360" w:lineRule="auto"/>
        <w:jc w:val="center"/>
        <w:rPr>
          <w:rFonts w:ascii="华文中宋" w:hAnsi="华文中宋" w:eastAsia="华文中宋"/>
          <w:sz w:val="36"/>
          <w:szCs w:val="36"/>
        </w:rPr>
      </w:pPr>
    </w:p>
    <w:p>
      <w:pPr>
        <w:spacing w:line="360" w:lineRule="auto"/>
        <w:jc w:val="center"/>
        <w:rPr>
          <w:rFonts w:ascii="华文中宋" w:hAnsi="华文中宋" w:eastAsia="华文中宋"/>
          <w:sz w:val="36"/>
          <w:szCs w:val="36"/>
        </w:rPr>
      </w:pPr>
    </w:p>
    <w:p>
      <w:pPr>
        <w:spacing w:line="360" w:lineRule="auto"/>
        <w:jc w:val="center"/>
        <w:rPr>
          <w:rFonts w:ascii="华文中宋" w:hAnsi="华文中宋" w:eastAsia="华文中宋"/>
          <w:sz w:val="36"/>
          <w:szCs w:val="36"/>
        </w:rPr>
      </w:pPr>
    </w:p>
    <w:p>
      <w:pPr>
        <w:spacing w:line="360" w:lineRule="auto"/>
        <w:rPr>
          <w:rFonts w:ascii="华文中宋" w:hAnsi="华文中宋" w:eastAsia="华文中宋"/>
          <w:sz w:val="36"/>
          <w:szCs w:val="36"/>
        </w:rPr>
      </w:pPr>
    </w:p>
    <w:p>
      <w:pPr>
        <w:spacing w:line="360" w:lineRule="auto"/>
        <w:jc w:val="center"/>
        <w:rPr>
          <w:rFonts w:ascii="楷体_GB2312" w:hAnsi="华文中宋" w:eastAsia="楷体_GB2312"/>
          <w:sz w:val="36"/>
          <w:szCs w:val="36"/>
        </w:rPr>
      </w:pPr>
      <w:r>
        <w:rPr>
          <w:rFonts w:hint="eastAsia" w:ascii="楷体_GB2312" w:hAnsi="华文中宋" w:eastAsia="楷体_GB2312"/>
          <w:sz w:val="36"/>
          <w:szCs w:val="36"/>
        </w:rPr>
        <w:t>宝山区气象局</w:t>
      </w:r>
    </w:p>
    <w:p>
      <w:pPr>
        <w:spacing w:line="360" w:lineRule="auto"/>
        <w:jc w:val="center"/>
        <w:rPr>
          <w:rFonts w:ascii="楷体_GB2312" w:hAnsi="华文中宋" w:eastAsia="楷体_GB2312"/>
          <w:sz w:val="36"/>
          <w:szCs w:val="36"/>
        </w:rPr>
      </w:pPr>
      <w:r>
        <w:rPr>
          <w:rFonts w:hint="eastAsia" w:ascii="楷体_GB2312" w:hAnsi="华文中宋" w:eastAsia="楷体_GB2312"/>
          <w:sz w:val="36"/>
          <w:szCs w:val="36"/>
        </w:rPr>
        <w:t>2015年10月</w:t>
      </w:r>
    </w:p>
    <w:p>
      <w:pPr>
        <w:spacing w:line="480" w:lineRule="exact"/>
        <w:jc w:val="center"/>
        <w:rPr>
          <w:rFonts w:ascii="方正小标宋简体" w:hAnsi="宋体" w:eastAsia="方正小标宋简体"/>
          <w:b/>
          <w:bCs/>
          <w:sz w:val="44"/>
          <w:szCs w:val="44"/>
        </w:rPr>
      </w:pPr>
    </w:p>
    <w:sdt>
      <w:sdtPr>
        <w:rPr>
          <w:rFonts w:ascii="Times New Roman" w:hAnsi="Times New Roman" w:eastAsia="仿宋_GB2312" w:cs="Times New Roman"/>
          <w:b w:val="0"/>
          <w:bCs w:val="0"/>
          <w:color w:val="auto"/>
          <w:kern w:val="2"/>
          <w:sz w:val="32"/>
          <w:szCs w:val="20"/>
          <w:lang w:val="zh-CN"/>
        </w:rPr>
        <w:id w:val="5196255"/>
        <w:docPartObj>
          <w:docPartGallery w:val="Table of Contents"/>
          <w:docPartUnique/>
        </w:docPartObj>
      </w:sdtPr>
      <w:sdtEndPr>
        <w:rPr>
          <w:rFonts w:ascii="Times New Roman" w:hAnsi="Times New Roman" w:eastAsia="仿宋_GB2312" w:cs="Times New Roman"/>
          <w:b w:val="0"/>
          <w:bCs w:val="0"/>
          <w:color w:val="auto"/>
          <w:kern w:val="2"/>
          <w:sz w:val="32"/>
          <w:szCs w:val="20"/>
          <w:lang w:val="en-US"/>
        </w:rPr>
      </w:sdtEndPr>
      <w:sdtContent>
        <w:p>
          <w:pPr>
            <w:pStyle w:val="31"/>
            <w:spacing w:line="440" w:lineRule="exact"/>
            <w:jc w:val="center"/>
            <w:rPr>
              <w:rFonts w:ascii="仿宋_GB2312" w:eastAsia="仿宋_GB2312"/>
              <w:color w:val="auto"/>
              <w:spacing w:val="-20"/>
              <w:sz w:val="32"/>
              <w:szCs w:val="32"/>
            </w:rPr>
          </w:pPr>
          <w:r>
            <w:rPr>
              <w:rFonts w:hint="eastAsia" w:ascii="仿宋_GB2312" w:eastAsia="仿宋_GB2312"/>
              <w:color w:val="auto"/>
              <w:spacing w:val="-20"/>
              <w:sz w:val="32"/>
              <w:szCs w:val="32"/>
              <w:lang w:val="zh-CN"/>
            </w:rPr>
            <w:t>目      录</w:t>
          </w:r>
        </w:p>
        <w:p>
          <w:pPr>
            <w:pStyle w:val="11"/>
            <w:tabs>
              <w:tab w:val="right" w:leader="dot" w:pos="8834"/>
            </w:tabs>
            <w:rPr>
              <w:rFonts w:asciiTheme="minorHAnsi" w:eastAsiaTheme="minorEastAsia"/>
              <w:kern w:val="2"/>
              <w:sz w:val="21"/>
            </w:rPr>
          </w:pPr>
          <w:r>
            <w:rPr>
              <w:rFonts w:asciiTheme="minorHAnsi"/>
              <w:spacing w:val="-20"/>
            </w:rPr>
            <w:fldChar w:fldCharType="begin"/>
          </w:r>
          <w:r>
            <w:rPr>
              <w:rFonts w:asciiTheme="minorHAnsi"/>
              <w:spacing w:val="-20"/>
            </w:rPr>
            <w:instrText xml:space="preserve"> TOC \o "1-2" \h \z \u </w:instrText>
          </w:r>
          <w:r>
            <w:rPr>
              <w:rFonts w:asciiTheme="minorHAnsi"/>
              <w:spacing w:val="-20"/>
            </w:rPr>
            <w:fldChar w:fldCharType="separate"/>
          </w:r>
          <w:r>
            <w:fldChar w:fldCharType="begin"/>
          </w:r>
          <w:r>
            <w:instrText xml:space="preserve"> HYPERLINK \l "_Toc433361483" </w:instrText>
          </w:r>
          <w:r>
            <w:fldChar w:fldCharType="separate"/>
          </w:r>
          <w:r>
            <w:rPr>
              <w:rStyle w:val="19"/>
              <w:rFonts w:hint="eastAsia" w:ascii="Times New Roman" w:eastAsia="黑体"/>
            </w:rPr>
            <w:t>一、“十二五”期间工作回顾</w:t>
          </w:r>
          <w:r>
            <w:tab/>
          </w:r>
          <w:r>
            <w:fldChar w:fldCharType="begin"/>
          </w:r>
          <w:r>
            <w:instrText xml:space="preserve"> PAGEREF _Toc433361483 \h </w:instrText>
          </w:r>
          <w:r>
            <w:fldChar w:fldCharType="separate"/>
          </w:r>
          <w:r>
            <w:t>3</w:t>
          </w:r>
          <w:r>
            <w:fldChar w:fldCharType="end"/>
          </w:r>
          <w:r>
            <w:fldChar w:fldCharType="end"/>
          </w:r>
        </w:p>
        <w:p>
          <w:pPr>
            <w:pStyle w:val="12"/>
            <w:rPr>
              <w:kern w:val="2"/>
              <w:sz w:val="21"/>
            </w:rPr>
          </w:pPr>
          <w:r>
            <w:fldChar w:fldCharType="begin"/>
          </w:r>
          <w:r>
            <w:instrText xml:space="preserve"> HYPERLINK \l "_Toc433361484" </w:instrText>
          </w:r>
          <w:r>
            <w:fldChar w:fldCharType="separate"/>
          </w:r>
          <w:r>
            <w:rPr>
              <w:rStyle w:val="19"/>
              <w:rFonts w:hint="eastAsia" w:ascii="Arial" w:hAnsi="Arial" w:eastAsia="楷体_GB2312"/>
              <w:bCs/>
            </w:rPr>
            <w:t>（一）“十二五”发展成效</w:t>
          </w:r>
          <w:r>
            <w:tab/>
          </w:r>
          <w:r>
            <w:fldChar w:fldCharType="begin"/>
          </w:r>
          <w:r>
            <w:instrText xml:space="preserve"> PAGEREF _Toc433361484 \h </w:instrText>
          </w:r>
          <w:r>
            <w:fldChar w:fldCharType="separate"/>
          </w:r>
          <w:r>
            <w:t>3</w:t>
          </w:r>
          <w:r>
            <w:fldChar w:fldCharType="end"/>
          </w:r>
          <w:r>
            <w:fldChar w:fldCharType="end"/>
          </w:r>
        </w:p>
        <w:p>
          <w:pPr>
            <w:pStyle w:val="12"/>
            <w:rPr>
              <w:kern w:val="2"/>
              <w:sz w:val="21"/>
            </w:rPr>
          </w:pPr>
          <w:r>
            <w:fldChar w:fldCharType="begin"/>
          </w:r>
          <w:r>
            <w:instrText xml:space="preserve"> HYPERLINK \l "_Toc433361485" </w:instrText>
          </w:r>
          <w:r>
            <w:fldChar w:fldCharType="separate"/>
          </w:r>
          <w:r>
            <w:rPr>
              <w:rStyle w:val="19"/>
              <w:rFonts w:hint="eastAsia" w:ascii="Arial" w:hAnsi="Arial" w:eastAsia="楷体_GB2312"/>
              <w:bCs/>
            </w:rPr>
            <w:t>（二）“十三五”时期面临的形势</w:t>
          </w:r>
          <w:r>
            <w:tab/>
          </w:r>
          <w:r>
            <w:fldChar w:fldCharType="begin"/>
          </w:r>
          <w:r>
            <w:instrText xml:space="preserve"> PAGEREF _Toc433361485 \h </w:instrText>
          </w:r>
          <w:r>
            <w:fldChar w:fldCharType="separate"/>
          </w:r>
          <w:r>
            <w:t>7</w:t>
          </w:r>
          <w:r>
            <w:fldChar w:fldCharType="end"/>
          </w:r>
          <w:r>
            <w:fldChar w:fldCharType="end"/>
          </w:r>
        </w:p>
        <w:p>
          <w:pPr>
            <w:pStyle w:val="12"/>
            <w:rPr>
              <w:kern w:val="2"/>
              <w:sz w:val="21"/>
            </w:rPr>
          </w:pPr>
          <w:r>
            <w:fldChar w:fldCharType="begin"/>
          </w:r>
          <w:r>
            <w:instrText xml:space="preserve"> HYPERLINK \l "_Toc433361486" </w:instrText>
          </w:r>
          <w:r>
            <w:fldChar w:fldCharType="separate"/>
          </w:r>
          <w:r>
            <w:rPr>
              <w:rStyle w:val="19"/>
              <w:rFonts w:hint="eastAsia" w:ascii="Arial" w:hAnsi="Arial" w:eastAsia="楷体_GB2312"/>
              <w:bCs/>
            </w:rPr>
            <w:t>（三）</w:t>
          </w:r>
          <w:r>
            <w:rPr>
              <w:rStyle w:val="19"/>
              <w:rFonts w:ascii="Arial" w:hAnsi="Arial" w:eastAsia="楷体_GB2312"/>
              <w:bCs/>
            </w:rPr>
            <w:t>“</w:t>
          </w:r>
          <w:r>
            <w:rPr>
              <w:rStyle w:val="19"/>
              <w:rFonts w:hint="eastAsia" w:ascii="Arial" w:hAnsi="Arial" w:eastAsia="楷体_GB2312"/>
              <w:bCs/>
            </w:rPr>
            <w:t>十三五”时期发展面临的主要问题</w:t>
          </w:r>
          <w:r>
            <w:tab/>
          </w:r>
          <w:r>
            <w:fldChar w:fldCharType="begin"/>
          </w:r>
          <w:r>
            <w:instrText xml:space="preserve"> PAGEREF _Toc433361486 \h </w:instrText>
          </w:r>
          <w:r>
            <w:fldChar w:fldCharType="separate"/>
          </w:r>
          <w:r>
            <w:t>9</w:t>
          </w:r>
          <w:r>
            <w:fldChar w:fldCharType="end"/>
          </w:r>
          <w:r>
            <w:fldChar w:fldCharType="end"/>
          </w:r>
        </w:p>
        <w:p>
          <w:pPr>
            <w:pStyle w:val="11"/>
            <w:tabs>
              <w:tab w:val="right" w:leader="dot" w:pos="8834"/>
            </w:tabs>
            <w:rPr>
              <w:rFonts w:asciiTheme="minorHAnsi" w:eastAsiaTheme="minorEastAsia"/>
              <w:kern w:val="2"/>
              <w:sz w:val="21"/>
            </w:rPr>
          </w:pPr>
          <w:r>
            <w:fldChar w:fldCharType="begin"/>
          </w:r>
          <w:r>
            <w:instrText xml:space="preserve"> HYPERLINK \l "_Toc433361487" </w:instrText>
          </w:r>
          <w:r>
            <w:fldChar w:fldCharType="separate"/>
          </w:r>
          <w:r>
            <w:rPr>
              <w:rStyle w:val="19"/>
              <w:rFonts w:hint="eastAsia" w:ascii="Times New Roman" w:eastAsia="黑体"/>
            </w:rPr>
            <w:t>二、指导思想与发展目标</w:t>
          </w:r>
          <w:r>
            <w:tab/>
          </w:r>
          <w:r>
            <w:fldChar w:fldCharType="begin"/>
          </w:r>
          <w:r>
            <w:instrText xml:space="preserve"> PAGEREF _Toc433361487 \h </w:instrText>
          </w:r>
          <w:r>
            <w:fldChar w:fldCharType="separate"/>
          </w:r>
          <w:r>
            <w:t>11</w:t>
          </w:r>
          <w:r>
            <w:fldChar w:fldCharType="end"/>
          </w:r>
          <w:r>
            <w:fldChar w:fldCharType="end"/>
          </w:r>
        </w:p>
        <w:p>
          <w:pPr>
            <w:pStyle w:val="12"/>
            <w:rPr>
              <w:kern w:val="2"/>
              <w:sz w:val="21"/>
            </w:rPr>
          </w:pPr>
          <w:r>
            <w:fldChar w:fldCharType="begin"/>
          </w:r>
          <w:r>
            <w:instrText xml:space="preserve"> HYPERLINK \l "_Toc433361488" </w:instrText>
          </w:r>
          <w:r>
            <w:fldChar w:fldCharType="separate"/>
          </w:r>
          <w:r>
            <w:rPr>
              <w:rStyle w:val="19"/>
              <w:rFonts w:hint="eastAsia" w:ascii="Arial" w:hAnsi="Arial" w:eastAsia="楷体_GB2312"/>
              <w:bCs/>
            </w:rPr>
            <w:t>（一）指导思想</w:t>
          </w:r>
          <w:r>
            <w:tab/>
          </w:r>
          <w:r>
            <w:fldChar w:fldCharType="begin"/>
          </w:r>
          <w:r>
            <w:instrText xml:space="preserve"> PAGEREF _Toc433361488 \h </w:instrText>
          </w:r>
          <w:r>
            <w:fldChar w:fldCharType="separate"/>
          </w:r>
          <w:r>
            <w:t>11</w:t>
          </w:r>
          <w:r>
            <w:fldChar w:fldCharType="end"/>
          </w:r>
          <w:r>
            <w:fldChar w:fldCharType="end"/>
          </w:r>
        </w:p>
        <w:p>
          <w:pPr>
            <w:pStyle w:val="12"/>
            <w:rPr>
              <w:kern w:val="2"/>
              <w:sz w:val="21"/>
            </w:rPr>
          </w:pPr>
          <w:r>
            <w:fldChar w:fldCharType="begin"/>
          </w:r>
          <w:r>
            <w:instrText xml:space="preserve"> HYPERLINK \l "_Toc433361489" </w:instrText>
          </w:r>
          <w:r>
            <w:fldChar w:fldCharType="separate"/>
          </w:r>
          <w:r>
            <w:rPr>
              <w:rStyle w:val="19"/>
              <w:rFonts w:hint="eastAsia" w:ascii="Arial" w:hAnsi="Arial" w:eastAsia="楷体_GB2312"/>
              <w:bCs/>
            </w:rPr>
            <w:t>（二）发展目标</w:t>
          </w:r>
          <w:r>
            <w:tab/>
          </w:r>
          <w:r>
            <w:fldChar w:fldCharType="begin"/>
          </w:r>
          <w:r>
            <w:instrText xml:space="preserve"> PAGEREF _Toc433361489 \h </w:instrText>
          </w:r>
          <w:r>
            <w:fldChar w:fldCharType="separate"/>
          </w:r>
          <w:r>
            <w:t>12</w:t>
          </w:r>
          <w:r>
            <w:fldChar w:fldCharType="end"/>
          </w:r>
          <w:r>
            <w:fldChar w:fldCharType="end"/>
          </w:r>
        </w:p>
        <w:p>
          <w:pPr>
            <w:pStyle w:val="11"/>
            <w:tabs>
              <w:tab w:val="right" w:leader="dot" w:pos="8834"/>
            </w:tabs>
            <w:rPr>
              <w:rFonts w:asciiTheme="minorHAnsi" w:eastAsiaTheme="minorEastAsia"/>
              <w:kern w:val="2"/>
              <w:sz w:val="21"/>
            </w:rPr>
          </w:pPr>
          <w:r>
            <w:fldChar w:fldCharType="begin"/>
          </w:r>
          <w:r>
            <w:instrText xml:space="preserve"> HYPERLINK \l "_Toc433361490" </w:instrText>
          </w:r>
          <w:r>
            <w:fldChar w:fldCharType="separate"/>
          </w:r>
          <w:r>
            <w:rPr>
              <w:rStyle w:val="19"/>
              <w:rFonts w:hint="eastAsia" w:ascii="Times New Roman" w:eastAsia="黑体"/>
            </w:rPr>
            <w:t>三、主要任务</w:t>
          </w:r>
          <w:r>
            <w:tab/>
          </w:r>
          <w:r>
            <w:fldChar w:fldCharType="begin"/>
          </w:r>
          <w:r>
            <w:instrText xml:space="preserve"> PAGEREF _Toc433361490 \h </w:instrText>
          </w:r>
          <w:r>
            <w:fldChar w:fldCharType="separate"/>
          </w:r>
          <w:r>
            <w:t>13</w:t>
          </w:r>
          <w:r>
            <w:fldChar w:fldCharType="end"/>
          </w:r>
          <w:r>
            <w:fldChar w:fldCharType="end"/>
          </w:r>
        </w:p>
        <w:p>
          <w:pPr>
            <w:pStyle w:val="12"/>
            <w:rPr>
              <w:kern w:val="2"/>
              <w:sz w:val="21"/>
            </w:rPr>
          </w:pPr>
          <w:r>
            <w:fldChar w:fldCharType="begin"/>
          </w:r>
          <w:r>
            <w:instrText xml:space="preserve"> HYPERLINK \l "_Toc433361491" </w:instrText>
          </w:r>
          <w:r>
            <w:fldChar w:fldCharType="separate"/>
          </w:r>
          <w:r>
            <w:rPr>
              <w:rStyle w:val="19"/>
              <w:rFonts w:hint="eastAsia" w:ascii="Arial" w:hAnsi="Arial" w:eastAsia="楷体_GB2312"/>
              <w:bCs/>
            </w:rPr>
            <w:t>（一）加强气象防灾减灾，保障平安宝山建设</w:t>
          </w:r>
          <w:r>
            <w:tab/>
          </w:r>
          <w:r>
            <w:fldChar w:fldCharType="begin"/>
          </w:r>
          <w:r>
            <w:instrText xml:space="preserve"> PAGEREF _Toc433361491 \h </w:instrText>
          </w:r>
          <w:r>
            <w:fldChar w:fldCharType="separate"/>
          </w:r>
          <w:r>
            <w:t>13</w:t>
          </w:r>
          <w:r>
            <w:fldChar w:fldCharType="end"/>
          </w:r>
          <w:r>
            <w:fldChar w:fldCharType="end"/>
          </w:r>
        </w:p>
        <w:p>
          <w:pPr>
            <w:pStyle w:val="12"/>
            <w:rPr>
              <w:kern w:val="2"/>
              <w:sz w:val="21"/>
            </w:rPr>
          </w:pPr>
          <w:r>
            <w:fldChar w:fldCharType="begin"/>
          </w:r>
          <w:r>
            <w:instrText xml:space="preserve"> HYPERLINK \l "_Toc433361492" </w:instrText>
          </w:r>
          <w:r>
            <w:fldChar w:fldCharType="separate"/>
          </w:r>
          <w:r>
            <w:rPr>
              <w:rStyle w:val="19"/>
              <w:rFonts w:hint="eastAsia" w:ascii="Arial" w:hAnsi="Arial" w:eastAsia="楷体_GB2312"/>
              <w:bCs/>
            </w:rPr>
            <w:t>（二）提升公共气象服务，促进经济转型发展</w:t>
          </w:r>
          <w:r>
            <w:tab/>
          </w:r>
          <w:r>
            <w:fldChar w:fldCharType="begin"/>
          </w:r>
          <w:r>
            <w:instrText xml:space="preserve"> PAGEREF _Toc433361492 \h </w:instrText>
          </w:r>
          <w:r>
            <w:fldChar w:fldCharType="separate"/>
          </w:r>
          <w:r>
            <w:t>15</w:t>
          </w:r>
          <w:r>
            <w:fldChar w:fldCharType="end"/>
          </w:r>
          <w:r>
            <w:fldChar w:fldCharType="end"/>
          </w:r>
        </w:p>
        <w:p>
          <w:pPr>
            <w:pStyle w:val="12"/>
            <w:rPr>
              <w:kern w:val="2"/>
              <w:sz w:val="21"/>
            </w:rPr>
          </w:pPr>
          <w:r>
            <w:fldChar w:fldCharType="begin"/>
          </w:r>
          <w:r>
            <w:instrText xml:space="preserve"> HYPERLINK \l "_Toc433361493" </w:instrText>
          </w:r>
          <w:r>
            <w:fldChar w:fldCharType="separate"/>
          </w:r>
          <w:r>
            <w:rPr>
              <w:rStyle w:val="19"/>
              <w:rFonts w:hint="eastAsia" w:ascii="Arial" w:hAnsi="Arial" w:eastAsia="楷体_GB2312"/>
              <w:bCs/>
            </w:rPr>
            <w:t>（三）坚持创新驱动发展，提高核心业务能力</w:t>
          </w:r>
          <w:r>
            <w:tab/>
          </w:r>
          <w:r>
            <w:fldChar w:fldCharType="begin"/>
          </w:r>
          <w:r>
            <w:instrText xml:space="preserve"> PAGEREF _Toc433361493 \h </w:instrText>
          </w:r>
          <w:r>
            <w:fldChar w:fldCharType="separate"/>
          </w:r>
          <w:r>
            <w:t>16</w:t>
          </w:r>
          <w:r>
            <w:fldChar w:fldCharType="end"/>
          </w:r>
          <w:r>
            <w:fldChar w:fldCharType="end"/>
          </w:r>
        </w:p>
        <w:p>
          <w:pPr>
            <w:pStyle w:val="12"/>
            <w:rPr>
              <w:kern w:val="2"/>
              <w:sz w:val="21"/>
            </w:rPr>
          </w:pPr>
          <w:r>
            <w:fldChar w:fldCharType="begin"/>
          </w:r>
          <w:r>
            <w:instrText xml:space="preserve"> HYPERLINK \l "_Toc433361494" </w:instrText>
          </w:r>
          <w:r>
            <w:fldChar w:fldCharType="separate"/>
          </w:r>
          <w:r>
            <w:rPr>
              <w:rStyle w:val="19"/>
              <w:rFonts w:hint="eastAsia" w:ascii="Arial" w:hAnsi="Arial" w:eastAsia="楷体_GB2312"/>
              <w:bCs/>
            </w:rPr>
            <w:t>（四）转变发展方式，促进气象事业可持续发展</w:t>
          </w:r>
          <w:r>
            <w:tab/>
          </w:r>
          <w:r>
            <w:fldChar w:fldCharType="begin"/>
          </w:r>
          <w:r>
            <w:instrText xml:space="preserve"> PAGEREF _Toc433361494 \h </w:instrText>
          </w:r>
          <w:r>
            <w:fldChar w:fldCharType="separate"/>
          </w:r>
          <w:r>
            <w:t>18</w:t>
          </w:r>
          <w:r>
            <w:fldChar w:fldCharType="end"/>
          </w:r>
          <w:r>
            <w:fldChar w:fldCharType="end"/>
          </w:r>
        </w:p>
        <w:p>
          <w:pPr>
            <w:pStyle w:val="11"/>
            <w:tabs>
              <w:tab w:val="right" w:leader="dot" w:pos="8834"/>
            </w:tabs>
            <w:rPr>
              <w:rFonts w:asciiTheme="minorHAnsi" w:eastAsiaTheme="minorEastAsia"/>
              <w:kern w:val="2"/>
              <w:sz w:val="21"/>
            </w:rPr>
          </w:pPr>
          <w:r>
            <w:fldChar w:fldCharType="begin"/>
          </w:r>
          <w:r>
            <w:instrText xml:space="preserve"> HYPERLINK \l "_Toc433361495" </w:instrText>
          </w:r>
          <w:r>
            <w:fldChar w:fldCharType="separate"/>
          </w:r>
          <w:r>
            <w:rPr>
              <w:rStyle w:val="19"/>
              <w:rFonts w:hint="eastAsia" w:ascii="Times New Roman" w:eastAsia="黑体"/>
            </w:rPr>
            <w:t>四、重点建设工程</w:t>
          </w:r>
          <w:r>
            <w:tab/>
          </w:r>
          <w:r>
            <w:fldChar w:fldCharType="begin"/>
          </w:r>
          <w:r>
            <w:instrText xml:space="preserve"> PAGEREF _Toc433361495 \h </w:instrText>
          </w:r>
          <w:r>
            <w:fldChar w:fldCharType="separate"/>
          </w:r>
          <w:r>
            <w:t>19</w:t>
          </w:r>
          <w:r>
            <w:fldChar w:fldCharType="end"/>
          </w:r>
          <w:r>
            <w:fldChar w:fldCharType="end"/>
          </w:r>
        </w:p>
        <w:p>
          <w:pPr>
            <w:pStyle w:val="12"/>
            <w:rPr>
              <w:kern w:val="2"/>
              <w:sz w:val="21"/>
            </w:rPr>
          </w:pPr>
          <w:r>
            <w:fldChar w:fldCharType="begin"/>
          </w:r>
          <w:r>
            <w:instrText xml:space="preserve"> HYPERLINK \l "_Toc433361496" </w:instrText>
          </w:r>
          <w:r>
            <w:fldChar w:fldCharType="separate"/>
          </w:r>
          <w:r>
            <w:rPr>
              <w:rStyle w:val="19"/>
              <w:rFonts w:hint="eastAsia" w:ascii="Arial" w:hAnsi="Arial" w:eastAsia="楷体_GB2312"/>
              <w:bCs/>
            </w:rPr>
            <w:t>（一）城乡一体化气象灾害监测预警系统建设</w:t>
          </w:r>
          <w:r>
            <w:tab/>
          </w:r>
          <w:r>
            <w:fldChar w:fldCharType="begin"/>
          </w:r>
          <w:r>
            <w:instrText xml:space="preserve"> PAGEREF _Toc433361496 \h </w:instrText>
          </w:r>
          <w:r>
            <w:fldChar w:fldCharType="separate"/>
          </w:r>
          <w:r>
            <w:t>19</w:t>
          </w:r>
          <w:r>
            <w:fldChar w:fldCharType="end"/>
          </w:r>
          <w:r>
            <w:fldChar w:fldCharType="end"/>
          </w:r>
        </w:p>
        <w:p>
          <w:pPr>
            <w:pStyle w:val="12"/>
            <w:rPr>
              <w:kern w:val="2"/>
              <w:sz w:val="21"/>
            </w:rPr>
          </w:pPr>
          <w:r>
            <w:fldChar w:fldCharType="begin"/>
          </w:r>
          <w:r>
            <w:instrText xml:space="preserve"> HYPERLINK \l "_Toc433361497" </w:instrText>
          </w:r>
          <w:r>
            <w:fldChar w:fldCharType="separate"/>
          </w:r>
          <w:r>
            <w:rPr>
              <w:rStyle w:val="19"/>
              <w:rFonts w:hint="eastAsia" w:ascii="Arial" w:hAnsi="Arial" w:eastAsia="楷体_GB2312"/>
              <w:bCs/>
            </w:rPr>
            <w:t>（二）交通生态智能气象服务保障系统建设</w:t>
          </w:r>
          <w:r>
            <w:tab/>
          </w:r>
          <w:r>
            <w:fldChar w:fldCharType="begin"/>
          </w:r>
          <w:r>
            <w:instrText xml:space="preserve"> PAGEREF _Toc433361497 \h </w:instrText>
          </w:r>
          <w:r>
            <w:fldChar w:fldCharType="separate"/>
          </w:r>
          <w:r>
            <w:t>20</w:t>
          </w:r>
          <w:r>
            <w:fldChar w:fldCharType="end"/>
          </w:r>
          <w:r>
            <w:fldChar w:fldCharType="end"/>
          </w:r>
        </w:p>
        <w:p>
          <w:pPr>
            <w:pStyle w:val="12"/>
            <w:rPr>
              <w:kern w:val="2"/>
              <w:sz w:val="21"/>
            </w:rPr>
          </w:pPr>
          <w:r>
            <w:fldChar w:fldCharType="begin"/>
          </w:r>
          <w:r>
            <w:instrText xml:space="preserve"> HYPERLINK \l "_Toc433361498" </w:instrText>
          </w:r>
          <w:r>
            <w:fldChar w:fldCharType="separate"/>
          </w:r>
          <w:r>
            <w:rPr>
              <w:rStyle w:val="19"/>
              <w:rFonts w:hint="eastAsia" w:ascii="Arial" w:hAnsi="Arial" w:eastAsia="楷体_GB2312"/>
              <w:bCs/>
            </w:rPr>
            <w:t>（三）邮轮气象服务平台建设</w:t>
          </w:r>
          <w:r>
            <w:tab/>
          </w:r>
          <w:r>
            <w:fldChar w:fldCharType="begin"/>
          </w:r>
          <w:r>
            <w:instrText xml:space="preserve"> PAGEREF _Toc433361498 \h </w:instrText>
          </w:r>
          <w:r>
            <w:fldChar w:fldCharType="separate"/>
          </w:r>
          <w:r>
            <w:t>21</w:t>
          </w:r>
          <w:r>
            <w:fldChar w:fldCharType="end"/>
          </w:r>
          <w:r>
            <w:fldChar w:fldCharType="end"/>
          </w:r>
        </w:p>
        <w:p>
          <w:pPr>
            <w:pStyle w:val="11"/>
            <w:tabs>
              <w:tab w:val="right" w:leader="dot" w:pos="8834"/>
            </w:tabs>
            <w:rPr>
              <w:rFonts w:asciiTheme="minorHAnsi" w:eastAsiaTheme="minorEastAsia"/>
              <w:kern w:val="2"/>
              <w:sz w:val="21"/>
            </w:rPr>
          </w:pPr>
          <w:r>
            <w:fldChar w:fldCharType="begin"/>
          </w:r>
          <w:r>
            <w:instrText xml:space="preserve"> HYPERLINK \l "_Toc433361499" </w:instrText>
          </w:r>
          <w:r>
            <w:fldChar w:fldCharType="separate"/>
          </w:r>
          <w:r>
            <w:rPr>
              <w:rStyle w:val="19"/>
              <w:rFonts w:hint="eastAsia" w:ascii="Times New Roman" w:eastAsia="黑体"/>
            </w:rPr>
            <w:t>五、保障措施</w:t>
          </w:r>
          <w:r>
            <w:tab/>
          </w:r>
          <w:r>
            <w:fldChar w:fldCharType="begin"/>
          </w:r>
          <w:r>
            <w:instrText xml:space="preserve"> PAGEREF _Toc433361499 \h </w:instrText>
          </w:r>
          <w:r>
            <w:fldChar w:fldCharType="separate"/>
          </w:r>
          <w:r>
            <w:t>23</w:t>
          </w:r>
          <w:r>
            <w:fldChar w:fldCharType="end"/>
          </w:r>
          <w:r>
            <w:fldChar w:fldCharType="end"/>
          </w:r>
        </w:p>
        <w:p>
          <w:pPr>
            <w:pStyle w:val="12"/>
            <w:rPr>
              <w:kern w:val="2"/>
              <w:sz w:val="21"/>
            </w:rPr>
          </w:pPr>
          <w:r>
            <w:fldChar w:fldCharType="begin"/>
          </w:r>
          <w:r>
            <w:instrText xml:space="preserve"> HYPERLINK \l "_Toc433361500" </w:instrText>
          </w:r>
          <w:r>
            <w:fldChar w:fldCharType="separate"/>
          </w:r>
          <w:r>
            <w:rPr>
              <w:rStyle w:val="19"/>
              <w:rFonts w:hint="eastAsia" w:ascii="Arial" w:hAnsi="Arial" w:eastAsia="楷体_GB2312"/>
              <w:bCs/>
            </w:rPr>
            <w:t>（一）加强组织领导，落实规划任务</w:t>
          </w:r>
          <w:r>
            <w:tab/>
          </w:r>
          <w:r>
            <w:fldChar w:fldCharType="begin"/>
          </w:r>
          <w:r>
            <w:instrText xml:space="preserve"> PAGEREF _Toc433361500 \h </w:instrText>
          </w:r>
          <w:r>
            <w:fldChar w:fldCharType="separate"/>
          </w:r>
          <w:r>
            <w:t>23</w:t>
          </w:r>
          <w:r>
            <w:fldChar w:fldCharType="end"/>
          </w:r>
          <w:r>
            <w:fldChar w:fldCharType="end"/>
          </w:r>
        </w:p>
        <w:p>
          <w:pPr>
            <w:pStyle w:val="12"/>
            <w:rPr>
              <w:kern w:val="2"/>
              <w:sz w:val="21"/>
            </w:rPr>
          </w:pPr>
          <w:r>
            <w:fldChar w:fldCharType="begin"/>
          </w:r>
          <w:r>
            <w:instrText xml:space="preserve"> HYPERLINK \l "_Toc433361501" </w:instrText>
          </w:r>
          <w:r>
            <w:fldChar w:fldCharType="separate"/>
          </w:r>
          <w:r>
            <w:rPr>
              <w:rStyle w:val="19"/>
              <w:rFonts w:hint="eastAsia" w:ascii="Arial" w:hAnsi="Arial" w:eastAsia="楷体_GB2312"/>
              <w:bCs/>
            </w:rPr>
            <w:t>（二）健全体制机制，优化发展环境</w:t>
          </w:r>
          <w:r>
            <w:tab/>
          </w:r>
          <w:r>
            <w:fldChar w:fldCharType="begin"/>
          </w:r>
          <w:r>
            <w:instrText xml:space="preserve"> PAGEREF _Toc433361501 \h </w:instrText>
          </w:r>
          <w:r>
            <w:fldChar w:fldCharType="separate"/>
          </w:r>
          <w:r>
            <w:t>23</w:t>
          </w:r>
          <w:r>
            <w:fldChar w:fldCharType="end"/>
          </w:r>
          <w:r>
            <w:fldChar w:fldCharType="end"/>
          </w:r>
        </w:p>
        <w:p>
          <w:pPr>
            <w:pStyle w:val="12"/>
            <w:rPr>
              <w:kern w:val="2"/>
              <w:sz w:val="21"/>
            </w:rPr>
          </w:pPr>
          <w:r>
            <w:fldChar w:fldCharType="begin"/>
          </w:r>
          <w:r>
            <w:instrText xml:space="preserve"> HYPERLINK \l "_Toc433361502" </w:instrText>
          </w:r>
          <w:r>
            <w:fldChar w:fldCharType="separate"/>
          </w:r>
          <w:r>
            <w:rPr>
              <w:rStyle w:val="19"/>
              <w:rFonts w:hint="eastAsia" w:ascii="Arial" w:hAnsi="Arial" w:eastAsia="楷体_GB2312"/>
              <w:bCs/>
            </w:rPr>
            <w:t>（三）加大财政投入，落实规划投资</w:t>
          </w:r>
          <w:r>
            <w:tab/>
          </w:r>
          <w:r>
            <w:fldChar w:fldCharType="begin"/>
          </w:r>
          <w:r>
            <w:instrText xml:space="preserve"> PAGEREF _Toc433361502 \h </w:instrText>
          </w:r>
          <w:r>
            <w:fldChar w:fldCharType="separate"/>
          </w:r>
          <w:r>
            <w:t>23</w:t>
          </w:r>
          <w:r>
            <w:fldChar w:fldCharType="end"/>
          </w:r>
          <w:r>
            <w:fldChar w:fldCharType="end"/>
          </w:r>
        </w:p>
        <w:p>
          <w:pPr>
            <w:pStyle w:val="12"/>
            <w:rPr>
              <w:kern w:val="2"/>
              <w:sz w:val="21"/>
            </w:rPr>
          </w:pPr>
          <w:r>
            <w:fldChar w:fldCharType="begin"/>
          </w:r>
          <w:r>
            <w:instrText xml:space="preserve"> HYPERLINK \l "_Toc433361503" </w:instrText>
          </w:r>
          <w:r>
            <w:fldChar w:fldCharType="separate"/>
          </w:r>
          <w:r>
            <w:rPr>
              <w:rStyle w:val="19"/>
              <w:rFonts w:hint="eastAsia" w:ascii="Arial" w:hAnsi="Arial" w:eastAsia="楷体_GB2312"/>
              <w:bCs/>
            </w:rPr>
            <w:t>（四）依靠科技创新，注重队伍建设</w:t>
          </w:r>
          <w:r>
            <w:tab/>
          </w:r>
          <w:r>
            <w:fldChar w:fldCharType="begin"/>
          </w:r>
          <w:r>
            <w:instrText xml:space="preserve"> PAGEREF _Toc433361503 \h </w:instrText>
          </w:r>
          <w:r>
            <w:fldChar w:fldCharType="separate"/>
          </w:r>
          <w:r>
            <w:t>24</w:t>
          </w:r>
          <w:r>
            <w:fldChar w:fldCharType="end"/>
          </w:r>
          <w:r>
            <w:fldChar w:fldCharType="end"/>
          </w:r>
        </w:p>
        <w:p>
          <w:pPr>
            <w:pStyle w:val="12"/>
            <w:rPr>
              <w:kern w:val="2"/>
              <w:sz w:val="21"/>
            </w:rPr>
          </w:pPr>
          <w:r>
            <w:fldChar w:fldCharType="begin"/>
          </w:r>
          <w:r>
            <w:instrText xml:space="preserve"> HYPERLINK \l "_Toc433361504" </w:instrText>
          </w:r>
          <w:r>
            <w:fldChar w:fldCharType="separate"/>
          </w:r>
          <w:r>
            <w:rPr>
              <w:rStyle w:val="19"/>
              <w:rFonts w:hint="eastAsia" w:ascii="Arial" w:hAnsi="Arial" w:eastAsia="楷体_GB2312"/>
              <w:bCs/>
            </w:rPr>
            <w:t>（五）扩大开放合作，推进共建共享</w:t>
          </w:r>
          <w:r>
            <w:tab/>
          </w:r>
          <w:r>
            <w:fldChar w:fldCharType="begin"/>
          </w:r>
          <w:r>
            <w:instrText xml:space="preserve"> PAGEREF _Toc433361504 \h </w:instrText>
          </w:r>
          <w:r>
            <w:fldChar w:fldCharType="separate"/>
          </w:r>
          <w:r>
            <w:t>24</w:t>
          </w:r>
          <w:r>
            <w:fldChar w:fldCharType="end"/>
          </w:r>
          <w:r>
            <w:fldChar w:fldCharType="end"/>
          </w:r>
        </w:p>
        <w:p>
          <w:pPr>
            <w:spacing w:line="440" w:lineRule="exact"/>
          </w:pPr>
          <w:r>
            <w:rPr>
              <w:rFonts w:asciiTheme="minorHAnsi" w:hAnsiTheme="minorHAnsi" w:cstheme="minorBidi"/>
              <w:spacing w:val="-20"/>
              <w:kern w:val="0"/>
              <w:sz w:val="28"/>
              <w:szCs w:val="22"/>
            </w:rPr>
            <w:fldChar w:fldCharType="end"/>
          </w:r>
        </w:p>
      </w:sdtContent>
    </w:sdt>
    <w:p>
      <w:pPr>
        <w:spacing w:line="480" w:lineRule="exact"/>
        <w:jc w:val="center"/>
        <w:rPr>
          <w:rFonts w:ascii="华文中宋" w:hAnsi="华文中宋" w:eastAsia="华文中宋"/>
          <w:sz w:val="36"/>
          <w:szCs w:val="36"/>
        </w:rPr>
      </w:pPr>
      <w:r>
        <w:rPr>
          <w:rFonts w:hint="eastAsia" w:ascii="华文中宋" w:hAnsi="华文中宋" w:eastAsia="华文中宋"/>
          <w:sz w:val="36"/>
          <w:szCs w:val="36"/>
        </w:rPr>
        <w:t>宝山区气象事业发展“十三五”规划</w:t>
      </w:r>
    </w:p>
    <w:p>
      <w:pPr>
        <w:spacing w:line="480" w:lineRule="exact"/>
        <w:ind w:firstLine="632" w:firstLineChars="200"/>
        <w:jc w:val="center"/>
        <w:rPr>
          <w:rFonts w:ascii="楷体_GB2312" w:hAnsi="华文中宋" w:eastAsia="楷体_GB2312"/>
          <w:szCs w:val="32"/>
        </w:rPr>
      </w:pPr>
      <w:r>
        <w:rPr>
          <w:rFonts w:hint="eastAsia" w:ascii="楷体_GB2312" w:hAnsi="华文中宋" w:eastAsia="楷体_GB2312"/>
          <w:szCs w:val="32"/>
        </w:rPr>
        <w:t>（报批稿）</w:t>
      </w:r>
    </w:p>
    <w:p>
      <w:pPr>
        <w:spacing w:line="240" w:lineRule="auto"/>
        <w:ind w:firstLine="592" w:firstLineChars="200"/>
        <w:rPr>
          <w:rFonts w:ascii="仿宋_GB2312"/>
          <w:sz w:val="30"/>
          <w:szCs w:val="30"/>
        </w:rPr>
      </w:pPr>
      <w:r>
        <w:rPr>
          <w:rFonts w:hint="eastAsia" w:ascii="仿宋_GB2312"/>
          <w:sz w:val="30"/>
          <w:szCs w:val="30"/>
        </w:rPr>
        <w:t xml:space="preserve"> “十三五”期间，是宝山实现2020年全面建成小康社会宏伟目标的关键时期，是深化改革开放、转变发展方式、完善社会治理的攻坚时期，也是宝山气象事业实现气象现代化的关键时期。科学编制和有效实施宝山区气象事业发展“十三五”规划，对于服务全区经济社会发展、推动宝山气象事业在新的起点上实现科学发展、跨越发展、和谐发展，具有十分重要的意义。</w:t>
      </w:r>
    </w:p>
    <w:p>
      <w:pPr>
        <w:spacing w:line="240" w:lineRule="auto"/>
        <w:ind w:firstLine="592" w:firstLineChars="200"/>
        <w:rPr>
          <w:rFonts w:ascii="仿宋_GB2312"/>
          <w:sz w:val="30"/>
          <w:szCs w:val="30"/>
        </w:rPr>
      </w:pPr>
      <w:r>
        <w:rPr>
          <w:rFonts w:hint="eastAsia" w:ascii="仿宋_GB2312"/>
          <w:sz w:val="30"/>
          <w:szCs w:val="30"/>
        </w:rPr>
        <w:t>为贯彻落实《国务院关于加快气象事业发展的若干意见》和《气象灾害防御条例》，加快推进本区气象事业发展，更好地发挥气象事业在经济社会发展中的作用，根据《上海市宝山区国民经济和社会发展第十三个五年规划纲要》和《上海市气象事业发展“十三五”规划》，现制订《宝山区气象事业发展“十三五”规划》，明确未来五年本区气象事业的发展思路和总体目标，提出主要任务和重点建设项目，以指导本区气象事业持续快速发展。</w:t>
      </w:r>
    </w:p>
    <w:p>
      <w:pPr>
        <w:pStyle w:val="2"/>
        <w:spacing w:before="0" w:after="0" w:line="240" w:lineRule="auto"/>
        <w:ind w:firstLine="592" w:firstLineChars="200"/>
        <w:rPr>
          <w:rFonts w:ascii="Times New Roman" w:eastAsia="黑体"/>
          <w:b w:val="0"/>
          <w:bCs w:val="0"/>
          <w:spacing w:val="0"/>
          <w:sz w:val="30"/>
        </w:rPr>
      </w:pPr>
      <w:bookmarkStart w:id="0" w:name="_Toc433361483"/>
      <w:bookmarkStart w:id="1" w:name="_Toc430084962"/>
      <w:bookmarkStart w:id="2" w:name="_Toc430098869"/>
      <w:bookmarkStart w:id="3" w:name="_Toc430085781"/>
      <w:r>
        <w:rPr>
          <w:rFonts w:hint="eastAsia" w:ascii="Times New Roman" w:eastAsia="黑体"/>
          <w:b w:val="0"/>
          <w:bCs w:val="0"/>
          <w:spacing w:val="0"/>
          <w:sz w:val="30"/>
        </w:rPr>
        <w:t>一、“十二五”期间工作回顾</w:t>
      </w:r>
      <w:bookmarkEnd w:id="0"/>
      <w:bookmarkEnd w:id="1"/>
      <w:bookmarkEnd w:id="2"/>
      <w:bookmarkEnd w:id="3"/>
    </w:p>
    <w:p>
      <w:pPr>
        <w:pStyle w:val="3"/>
        <w:keepNext/>
        <w:keepLines/>
        <w:spacing w:line="240" w:lineRule="auto"/>
        <w:ind w:firstLine="592" w:firstLineChars="200"/>
        <w:rPr>
          <w:rFonts w:ascii="Arial" w:hAnsi="Arial" w:eastAsia="楷体_GB2312"/>
          <w:bCs/>
          <w:sz w:val="30"/>
        </w:rPr>
      </w:pPr>
      <w:bookmarkStart w:id="4" w:name="_Toc430098870"/>
      <w:bookmarkStart w:id="5" w:name="_Toc430084963"/>
      <w:bookmarkStart w:id="6" w:name="_Toc430085782"/>
      <w:bookmarkStart w:id="7" w:name="_Toc433361484"/>
      <w:r>
        <w:rPr>
          <w:rFonts w:hint="eastAsia" w:ascii="Arial" w:hAnsi="Arial" w:eastAsia="楷体_GB2312"/>
          <w:bCs/>
          <w:sz w:val="30"/>
        </w:rPr>
        <w:t>（一）“十二五”</w:t>
      </w:r>
      <w:bookmarkEnd w:id="4"/>
      <w:bookmarkEnd w:id="5"/>
      <w:bookmarkEnd w:id="6"/>
      <w:r>
        <w:rPr>
          <w:rFonts w:hint="eastAsia" w:ascii="Arial" w:hAnsi="Arial" w:eastAsia="楷体_GB2312"/>
          <w:bCs/>
          <w:sz w:val="30"/>
        </w:rPr>
        <w:t>发展成效</w:t>
      </w:r>
      <w:bookmarkEnd w:id="7"/>
    </w:p>
    <w:p>
      <w:pPr>
        <w:spacing w:line="240" w:lineRule="auto"/>
        <w:ind w:firstLine="592" w:firstLineChars="200"/>
        <w:rPr>
          <w:rFonts w:ascii="仿宋_GB2312"/>
          <w:sz w:val="30"/>
          <w:szCs w:val="30"/>
        </w:rPr>
      </w:pPr>
      <w:r>
        <w:rPr>
          <w:rFonts w:hint="eastAsia" w:ascii="仿宋_GB2312"/>
          <w:sz w:val="30"/>
          <w:szCs w:val="30"/>
        </w:rPr>
        <w:t>“十二五”期间，宝山气象工作在上海市气象局和宝山区委、区政府的正确领导下，区气象部门秉承为经济社会发展和人民安全福祉服务的根本宗旨，紧紧依靠科技进步，艰苦奋斗，开拓创新，着力构建宝山特色的气象现代化体系，综合实力显著提升，服务效益大幅提高，为宝山经济社会快速发展提供了富有成效的气象服务。“十二五”期间取得的主要成就如下：</w:t>
      </w:r>
    </w:p>
    <w:p>
      <w:pPr>
        <w:spacing w:line="240" w:lineRule="auto"/>
        <w:ind w:firstLine="592" w:firstLineChars="200"/>
        <w:rPr>
          <w:rFonts w:ascii="楷体_GB2312" w:eastAsia="楷体_GB2312"/>
          <w:b/>
          <w:sz w:val="30"/>
          <w:szCs w:val="30"/>
        </w:rPr>
      </w:pPr>
      <w:r>
        <w:rPr>
          <w:rFonts w:ascii="楷体_GB2312" w:eastAsia="楷体_GB2312"/>
          <w:b/>
          <w:sz w:val="30"/>
          <w:szCs w:val="30"/>
        </w:rPr>
        <w:t>1</w:t>
      </w:r>
      <w:r>
        <w:rPr>
          <w:rFonts w:hint="eastAsia" w:ascii="楷体_GB2312" w:eastAsia="楷体_GB2312"/>
          <w:b/>
          <w:sz w:val="30"/>
          <w:szCs w:val="30"/>
        </w:rPr>
        <w:t>、公共气象服务能力明显提升</w:t>
      </w:r>
    </w:p>
    <w:p>
      <w:pPr>
        <w:spacing w:line="240" w:lineRule="auto"/>
        <w:ind w:firstLine="592" w:firstLineChars="200"/>
        <w:rPr>
          <w:rFonts w:ascii="仿宋_GB2312"/>
          <w:sz w:val="30"/>
          <w:szCs w:val="30"/>
        </w:rPr>
      </w:pPr>
      <w:r>
        <w:rPr>
          <w:rFonts w:hint="eastAsia" w:ascii="仿宋_GB2312"/>
          <w:b/>
          <w:sz w:val="30"/>
          <w:szCs w:val="30"/>
        </w:rPr>
        <w:t>决策气象服务能力不断增强。</w:t>
      </w:r>
      <w:r>
        <w:rPr>
          <w:rFonts w:hint="eastAsia" w:ascii="仿宋_GB2312"/>
          <w:sz w:val="30"/>
          <w:szCs w:val="30"/>
        </w:rPr>
        <w:t>在防御暴雨、台风、低温雨雪、冰冻灾害等重大气象灾害中，做到气象服务主动、准确、及时。每年为党政领导报送重要天气报告和决策气象服务专报</w:t>
      </w:r>
      <w:r>
        <w:rPr>
          <w:rFonts w:ascii="仿宋_GB2312"/>
          <w:sz w:val="30"/>
          <w:szCs w:val="30"/>
        </w:rPr>
        <w:t>700</w:t>
      </w:r>
      <w:r>
        <w:rPr>
          <w:rFonts w:hint="eastAsia" w:ascii="仿宋_GB2312"/>
          <w:sz w:val="30"/>
          <w:szCs w:val="30"/>
        </w:rPr>
        <w:t>余份，决策气象预警短信</w:t>
      </w:r>
      <w:r>
        <w:rPr>
          <w:rFonts w:ascii="仿宋_GB2312"/>
          <w:sz w:val="30"/>
          <w:szCs w:val="30"/>
        </w:rPr>
        <w:t>2</w:t>
      </w:r>
      <w:r>
        <w:rPr>
          <w:rFonts w:hint="eastAsia" w:ascii="仿宋_GB2312"/>
          <w:sz w:val="30"/>
          <w:szCs w:val="30"/>
        </w:rPr>
        <w:t>万余条，为党委政府防灾减灾科学决策提供了依据。成功应对</w:t>
      </w:r>
      <w:r>
        <w:rPr>
          <w:rFonts w:ascii="仿宋_GB2312"/>
          <w:sz w:val="30"/>
          <w:szCs w:val="30"/>
        </w:rPr>
        <w:t>2012</w:t>
      </w:r>
      <w:r>
        <w:rPr>
          <w:rFonts w:hint="eastAsia" w:ascii="仿宋_GB2312"/>
          <w:sz w:val="30"/>
          <w:szCs w:val="30"/>
        </w:rPr>
        <w:t>年“海葵”台风、</w:t>
      </w:r>
      <w:r>
        <w:rPr>
          <w:rFonts w:ascii="仿宋_GB2312"/>
          <w:sz w:val="30"/>
          <w:szCs w:val="30"/>
        </w:rPr>
        <w:t>2013</w:t>
      </w:r>
      <w:r>
        <w:rPr>
          <w:rFonts w:hint="eastAsia" w:ascii="仿宋_GB2312"/>
          <w:sz w:val="30"/>
          <w:szCs w:val="30"/>
        </w:rPr>
        <w:t>年“菲特”台风残余与北方冷空气结合产生的大暴雨、</w:t>
      </w:r>
      <w:r>
        <w:rPr>
          <w:rFonts w:ascii="仿宋_GB2312"/>
          <w:sz w:val="30"/>
          <w:szCs w:val="30"/>
        </w:rPr>
        <w:t>2013</w:t>
      </w:r>
      <w:r>
        <w:rPr>
          <w:rFonts w:hint="eastAsia" w:ascii="仿宋_GB2312"/>
          <w:sz w:val="30"/>
          <w:szCs w:val="30"/>
        </w:rPr>
        <w:t>年夏季持续性高温酷暑及2015年“6.17”特大暴雨等重大灾害性天气。圆满完成宝山国际民间艺术节活动、上海樱花节等重大活动的气象服务保障任务。</w:t>
      </w:r>
    </w:p>
    <w:p>
      <w:pPr>
        <w:spacing w:line="240" w:lineRule="auto"/>
        <w:ind w:firstLine="592" w:firstLineChars="200"/>
        <w:rPr>
          <w:rFonts w:ascii="仿宋_GB2312"/>
          <w:sz w:val="30"/>
          <w:szCs w:val="30"/>
        </w:rPr>
      </w:pPr>
      <w:r>
        <w:rPr>
          <w:rFonts w:hint="eastAsia" w:ascii="仿宋_GB2312"/>
          <w:b/>
          <w:sz w:val="30"/>
          <w:szCs w:val="30"/>
        </w:rPr>
        <w:t>公众气象服务覆盖面不断扩大。</w:t>
      </w:r>
      <w:r>
        <w:rPr>
          <w:rFonts w:hint="eastAsia" w:ascii="仿宋_GB2312"/>
          <w:sz w:val="30"/>
          <w:szCs w:val="30"/>
        </w:rPr>
        <w:t>依托宝山电视台、宝山电台、“上海宝山发布”政务微博、上海宝山政府网站、“宝山气象”官方微博、“宝山气象”微信、</w:t>
      </w:r>
      <w:r>
        <w:rPr>
          <w:rFonts w:ascii="仿宋_GB2312"/>
          <w:sz w:val="30"/>
          <w:szCs w:val="30"/>
        </w:rPr>
        <w:t>969221</w:t>
      </w:r>
      <w:r>
        <w:rPr>
          <w:rFonts w:hint="eastAsia" w:ascii="仿宋_GB2312"/>
          <w:sz w:val="30"/>
          <w:szCs w:val="30"/>
        </w:rPr>
        <w:t>、宝山报等各种媒体（介），每天发布各类天气信息</w:t>
      </w:r>
      <w:r>
        <w:rPr>
          <w:rFonts w:ascii="仿宋_GB2312"/>
          <w:sz w:val="30"/>
          <w:szCs w:val="30"/>
        </w:rPr>
        <w:t>14</w:t>
      </w:r>
      <w:r>
        <w:rPr>
          <w:rFonts w:hint="eastAsia" w:ascii="仿宋_GB2312"/>
          <w:sz w:val="30"/>
          <w:szCs w:val="30"/>
        </w:rPr>
        <w:t>项，发布公共气象短信</w:t>
      </w:r>
      <w:r>
        <w:rPr>
          <w:rFonts w:ascii="仿宋_GB2312"/>
          <w:sz w:val="30"/>
          <w:szCs w:val="30"/>
        </w:rPr>
        <w:t>60</w:t>
      </w:r>
      <w:r>
        <w:rPr>
          <w:rFonts w:hint="eastAsia" w:ascii="仿宋_GB2312"/>
          <w:sz w:val="30"/>
          <w:szCs w:val="30"/>
        </w:rPr>
        <w:t>多万条</w:t>
      </w:r>
      <w:r>
        <w:rPr>
          <w:rFonts w:ascii="仿宋_GB2312"/>
          <w:sz w:val="30"/>
          <w:szCs w:val="30"/>
        </w:rPr>
        <w:t>/</w:t>
      </w:r>
      <w:r>
        <w:rPr>
          <w:rFonts w:hint="eastAsia" w:ascii="仿宋_GB2312"/>
          <w:sz w:val="30"/>
          <w:szCs w:val="30"/>
        </w:rPr>
        <w:t>年，</w:t>
      </w:r>
      <w:r>
        <w:rPr>
          <w:rFonts w:hint="eastAsia"/>
          <w:sz w:val="30"/>
          <w:szCs w:val="30"/>
        </w:rPr>
        <w:t>突发气象灾害预警信息覆盖率达</w:t>
      </w:r>
      <w:r>
        <w:rPr>
          <w:sz w:val="30"/>
          <w:szCs w:val="30"/>
        </w:rPr>
        <w:t>90%</w:t>
      </w:r>
      <w:r>
        <w:rPr>
          <w:rFonts w:hint="eastAsia"/>
          <w:sz w:val="30"/>
          <w:szCs w:val="30"/>
        </w:rPr>
        <w:t>，提高了公众防灾避险和自我防御的能力</w:t>
      </w:r>
      <w:r>
        <w:rPr>
          <w:rFonts w:hint="eastAsia" w:ascii="仿宋_GB2312"/>
          <w:sz w:val="30"/>
          <w:szCs w:val="30"/>
        </w:rPr>
        <w:t>。</w:t>
      </w:r>
    </w:p>
    <w:p>
      <w:pPr>
        <w:spacing w:line="240" w:lineRule="auto"/>
        <w:ind w:firstLine="592" w:firstLineChars="200"/>
        <w:rPr>
          <w:rFonts w:ascii="仿宋_GB2312"/>
          <w:sz w:val="30"/>
          <w:szCs w:val="30"/>
        </w:rPr>
      </w:pPr>
      <w:r>
        <w:rPr>
          <w:rFonts w:hint="eastAsia" w:ascii="仿宋_GB2312"/>
          <w:b/>
          <w:sz w:val="30"/>
          <w:szCs w:val="30"/>
        </w:rPr>
        <w:t>专业气象服务不断深化。</w:t>
      </w:r>
      <w:r>
        <w:rPr>
          <w:rFonts w:hint="eastAsia" w:ascii="仿宋_GB2312"/>
          <w:sz w:val="30"/>
          <w:szCs w:val="30"/>
        </w:rPr>
        <w:t>建立了直通式农业气象服务方式，每年发布三夏三秋短信产品</w:t>
      </w:r>
      <w:r>
        <w:rPr>
          <w:rFonts w:ascii="仿宋_GB2312"/>
          <w:sz w:val="30"/>
          <w:szCs w:val="30"/>
        </w:rPr>
        <w:t>1</w:t>
      </w:r>
      <w:r>
        <w:rPr>
          <w:rFonts w:hint="eastAsia" w:ascii="仿宋_GB2312"/>
          <w:sz w:val="30"/>
          <w:szCs w:val="30"/>
        </w:rPr>
        <w:t>万余条，专题报告</w:t>
      </w:r>
      <w:r>
        <w:rPr>
          <w:rFonts w:ascii="仿宋_GB2312"/>
          <w:sz w:val="30"/>
          <w:szCs w:val="30"/>
        </w:rPr>
        <w:t>10</w:t>
      </w:r>
      <w:r>
        <w:rPr>
          <w:rFonts w:hint="eastAsia" w:ascii="仿宋_GB2312"/>
          <w:sz w:val="30"/>
          <w:szCs w:val="30"/>
        </w:rPr>
        <w:t>余份，连续多年保障了夏收秋收颗粒归仓；建立了吴淞国际邮轮港气象服务系统和宝山滨江带气象综合服务系统，每年发布《吴淞国际邮轮港气象专报》</w:t>
      </w:r>
      <w:r>
        <w:rPr>
          <w:rFonts w:ascii="仿宋_GB2312"/>
          <w:sz w:val="30"/>
          <w:szCs w:val="30"/>
        </w:rPr>
        <w:t>365</w:t>
      </w:r>
      <w:r>
        <w:rPr>
          <w:rFonts w:hint="eastAsia" w:ascii="仿宋_GB2312"/>
          <w:sz w:val="30"/>
          <w:szCs w:val="30"/>
        </w:rPr>
        <w:t>份，短信</w:t>
      </w:r>
      <w:r>
        <w:rPr>
          <w:rFonts w:ascii="仿宋_GB2312"/>
          <w:sz w:val="30"/>
          <w:szCs w:val="30"/>
        </w:rPr>
        <w:t>1</w:t>
      </w:r>
      <w:r>
        <w:rPr>
          <w:rFonts w:hint="eastAsia" w:ascii="仿宋_GB2312"/>
          <w:sz w:val="30"/>
          <w:szCs w:val="30"/>
        </w:rPr>
        <w:t>万余条，为国际邮轮进港离港提供了气象保障，为宝山邮轮经济发展做出较好的贡献。</w:t>
      </w:r>
    </w:p>
    <w:p>
      <w:pPr>
        <w:spacing w:line="240" w:lineRule="auto"/>
        <w:ind w:firstLine="592" w:firstLineChars="200"/>
        <w:rPr>
          <w:rFonts w:ascii="仿宋_GB2312"/>
          <w:sz w:val="30"/>
          <w:szCs w:val="30"/>
        </w:rPr>
      </w:pPr>
      <w:r>
        <w:rPr>
          <w:rFonts w:hint="eastAsia" w:ascii="仿宋_GB2312"/>
          <w:b/>
          <w:sz w:val="30"/>
          <w:szCs w:val="30"/>
        </w:rPr>
        <w:t>预报准确率和精细化水平不断提升。</w:t>
      </w:r>
      <w:r>
        <w:rPr>
          <w:rFonts w:hint="eastAsia" w:ascii="仿宋_GB2312"/>
          <w:sz w:val="30"/>
          <w:szCs w:val="30"/>
        </w:rPr>
        <w:t>国家突发公共事件预警信息发布平台、市局一体化预报业务制作系统、分区预警系统在本地得到充分应用，短时临近预报业务得到加强，气象预报预测准确率和精细化程度大幅提升，</w:t>
      </w:r>
      <w:r>
        <w:rPr>
          <w:rFonts w:ascii="仿宋_GB2312"/>
          <w:sz w:val="30"/>
          <w:szCs w:val="30"/>
        </w:rPr>
        <w:t>24</w:t>
      </w:r>
      <w:r>
        <w:rPr>
          <w:rFonts w:hint="eastAsia" w:ascii="仿宋_GB2312"/>
          <w:sz w:val="30"/>
          <w:szCs w:val="30"/>
        </w:rPr>
        <w:t>小时晴雨预报准确率稳定在</w:t>
      </w:r>
      <w:r>
        <w:rPr>
          <w:rFonts w:ascii="仿宋_GB2312"/>
          <w:sz w:val="30"/>
          <w:szCs w:val="30"/>
        </w:rPr>
        <w:t>88%</w:t>
      </w:r>
      <w:r>
        <w:rPr>
          <w:rFonts w:hint="eastAsia" w:ascii="仿宋_GB2312"/>
          <w:sz w:val="30"/>
          <w:szCs w:val="30"/>
        </w:rPr>
        <w:t>。</w:t>
      </w:r>
    </w:p>
    <w:p>
      <w:pPr>
        <w:spacing w:line="240" w:lineRule="auto"/>
        <w:ind w:firstLine="592" w:firstLineChars="200"/>
        <w:rPr>
          <w:rFonts w:ascii="仿宋_GB2312"/>
          <w:b/>
          <w:sz w:val="30"/>
          <w:szCs w:val="30"/>
        </w:rPr>
      </w:pPr>
      <w:r>
        <w:rPr>
          <w:rFonts w:ascii="仿宋_GB2312"/>
          <w:b/>
          <w:sz w:val="30"/>
          <w:szCs w:val="30"/>
        </w:rPr>
        <w:t>2</w:t>
      </w:r>
      <w:r>
        <w:rPr>
          <w:rFonts w:hint="eastAsia" w:ascii="仿宋_GB2312"/>
          <w:b/>
          <w:sz w:val="30"/>
          <w:szCs w:val="30"/>
        </w:rPr>
        <w:t>、综合气象观测业务发展成效显著</w:t>
      </w:r>
    </w:p>
    <w:p>
      <w:pPr>
        <w:spacing w:line="240" w:lineRule="auto"/>
        <w:ind w:firstLine="592" w:firstLineChars="200"/>
        <w:rPr>
          <w:rFonts w:ascii="仿宋_GB2312"/>
          <w:b/>
          <w:sz w:val="30"/>
          <w:szCs w:val="30"/>
        </w:rPr>
      </w:pPr>
      <w:r>
        <w:rPr>
          <w:rFonts w:hint="eastAsia" w:ascii="仿宋_GB2312"/>
          <w:b/>
          <w:sz w:val="30"/>
          <w:szCs w:val="30"/>
        </w:rPr>
        <w:t>区域气象观测网络初步建成。</w:t>
      </w:r>
      <w:r>
        <w:rPr>
          <w:rFonts w:hint="eastAsia" w:ascii="仿宋_GB2312"/>
          <w:sz w:val="30"/>
          <w:szCs w:val="30"/>
        </w:rPr>
        <w:t>新建</w:t>
      </w:r>
      <w:r>
        <w:rPr>
          <w:rFonts w:ascii="仿宋_GB2312"/>
          <w:sz w:val="30"/>
          <w:szCs w:val="30"/>
        </w:rPr>
        <w:t>15</w:t>
      </w:r>
      <w:r>
        <w:rPr>
          <w:rFonts w:hint="eastAsia" w:ascii="仿宋_GB2312"/>
          <w:sz w:val="30"/>
          <w:szCs w:val="30"/>
        </w:rPr>
        <w:t>个区域自动站（全区区域自动站达到</w:t>
      </w:r>
      <w:r>
        <w:rPr>
          <w:rFonts w:ascii="仿宋_GB2312"/>
          <w:sz w:val="30"/>
          <w:szCs w:val="30"/>
        </w:rPr>
        <w:t>30</w:t>
      </w:r>
      <w:r>
        <w:rPr>
          <w:rFonts w:hint="eastAsia" w:ascii="仿宋_GB2312"/>
          <w:sz w:val="30"/>
          <w:szCs w:val="30"/>
        </w:rPr>
        <w:t>个），平均间距达到</w:t>
      </w:r>
      <w:r>
        <w:rPr>
          <w:rFonts w:ascii="仿宋_GB2312"/>
          <w:sz w:val="30"/>
          <w:szCs w:val="30"/>
        </w:rPr>
        <w:t>5</w:t>
      </w:r>
      <w:r>
        <w:rPr>
          <w:rFonts w:hint="eastAsia" w:ascii="仿宋_GB2312"/>
          <w:sz w:val="30"/>
          <w:szCs w:val="30"/>
        </w:rPr>
        <w:t>公里，实现每分钟自动观测；建成</w:t>
      </w:r>
      <w:r>
        <w:rPr>
          <w:rFonts w:hint="eastAsia"/>
          <w:sz w:val="30"/>
          <w:szCs w:val="30"/>
        </w:rPr>
        <w:t>吴淞国际邮轮港气象探测系统</w:t>
      </w:r>
      <w:r>
        <w:rPr>
          <w:rFonts w:hint="eastAsia" w:ascii="仿宋_GB2312"/>
          <w:b/>
          <w:sz w:val="30"/>
          <w:szCs w:val="30"/>
        </w:rPr>
        <w:t>；</w:t>
      </w:r>
      <w:r>
        <w:rPr>
          <w:rFonts w:hint="eastAsia" w:ascii="仿宋_GB2312"/>
          <w:sz w:val="30"/>
          <w:szCs w:val="30"/>
        </w:rPr>
        <w:t>新建</w:t>
      </w:r>
      <w:r>
        <w:rPr>
          <w:rFonts w:ascii="仿宋_GB2312"/>
          <w:sz w:val="30"/>
          <w:szCs w:val="30"/>
        </w:rPr>
        <w:t>1</w:t>
      </w:r>
      <w:r>
        <w:rPr>
          <w:rFonts w:hint="eastAsia" w:ascii="仿宋_GB2312"/>
          <w:sz w:val="30"/>
          <w:szCs w:val="30"/>
        </w:rPr>
        <w:t>部气象应急探测与处置车（含</w:t>
      </w:r>
      <w:r>
        <w:rPr>
          <w:rFonts w:ascii="仿宋_GB2312"/>
          <w:sz w:val="30"/>
          <w:szCs w:val="30"/>
        </w:rPr>
        <w:t>3D</w:t>
      </w:r>
      <w:r>
        <w:rPr>
          <w:rFonts w:hint="eastAsia" w:ascii="仿宋_GB2312"/>
          <w:sz w:val="30"/>
          <w:szCs w:val="30"/>
        </w:rPr>
        <w:t>可视型激光雷达）、</w:t>
      </w:r>
      <w:r>
        <w:rPr>
          <w:rFonts w:ascii="仿宋_GB2312"/>
          <w:sz w:val="30"/>
          <w:szCs w:val="30"/>
        </w:rPr>
        <w:t>1</w:t>
      </w:r>
      <w:r>
        <w:rPr>
          <w:rFonts w:hint="eastAsia" w:ascii="仿宋_GB2312"/>
          <w:sz w:val="30"/>
          <w:szCs w:val="30"/>
        </w:rPr>
        <w:t>套闪电定位仪、</w:t>
      </w:r>
      <w:r>
        <w:rPr>
          <w:rFonts w:ascii="仿宋_GB2312"/>
          <w:sz w:val="30"/>
          <w:szCs w:val="30"/>
        </w:rPr>
        <w:t>1</w:t>
      </w:r>
      <w:r>
        <w:rPr>
          <w:rFonts w:hint="eastAsia" w:ascii="仿宋_GB2312"/>
          <w:sz w:val="30"/>
          <w:szCs w:val="30"/>
        </w:rPr>
        <w:t>套雷电预警仪，宝山地区灾害性天气监测能力明显提升。</w:t>
      </w:r>
    </w:p>
    <w:p>
      <w:pPr>
        <w:spacing w:line="240" w:lineRule="auto"/>
        <w:ind w:firstLine="592" w:firstLineChars="200"/>
        <w:rPr>
          <w:rFonts w:ascii="仿宋_GB2312"/>
          <w:sz w:val="30"/>
          <w:szCs w:val="30"/>
        </w:rPr>
      </w:pPr>
      <w:r>
        <w:rPr>
          <w:rFonts w:hint="eastAsia" w:ascii="仿宋_GB2312"/>
          <w:b/>
          <w:sz w:val="30"/>
          <w:szCs w:val="30"/>
        </w:rPr>
        <w:t>宝山观象台建设取得新进展。</w:t>
      </w:r>
      <w:r>
        <w:rPr>
          <w:rFonts w:hint="eastAsia" w:ascii="仿宋_GB2312"/>
          <w:sz w:val="30"/>
          <w:szCs w:val="30"/>
        </w:rPr>
        <w:t>“十二五”期间，气象探测现代化水平进一步提高。在全国率先完成地面综合气象观测自动化改革</w:t>
      </w:r>
      <w:r>
        <w:rPr>
          <w:rFonts w:ascii="仿宋_GB2312"/>
          <w:sz w:val="30"/>
          <w:szCs w:val="30"/>
        </w:rPr>
        <w:t>,</w:t>
      </w:r>
      <w:r>
        <w:rPr>
          <w:rFonts w:hint="eastAsia" w:ascii="仿宋_GB2312"/>
          <w:sz w:val="30"/>
          <w:szCs w:val="30"/>
        </w:rPr>
        <w:t>增加了激光云高仪、天气现象仪、能见度仪、双波段云量仪等新型探测设备，建立了新型全自动地面气象观测系统，并建立与地面气象观测自动化相适应的业务流、信息流体系。顺利完成原有地面高空观测人员向综合观测员、装备保障员、质量控制员转型。实现了高空地面业务的一体化运行模式，值班人员减少</w:t>
      </w:r>
      <w:r>
        <w:rPr>
          <w:rFonts w:ascii="仿宋_GB2312"/>
          <w:sz w:val="30"/>
          <w:szCs w:val="30"/>
        </w:rPr>
        <w:t>40%</w:t>
      </w:r>
      <w:r>
        <w:rPr>
          <w:rFonts w:hint="eastAsia" w:ascii="仿宋_GB2312"/>
          <w:sz w:val="30"/>
          <w:szCs w:val="30"/>
        </w:rPr>
        <w:t>。初步形成台站级数据分析和质量控制系统，观测人员综合素质和工作能力显著增强，综合气象观测水平进一步提升，为宝山气候观象台的业务创新、实现精准气象观测奠定了坚实基础。</w:t>
      </w:r>
    </w:p>
    <w:p>
      <w:pPr>
        <w:spacing w:line="240" w:lineRule="auto"/>
        <w:ind w:firstLine="592" w:firstLineChars="200"/>
        <w:rPr>
          <w:rFonts w:ascii="仿宋_GB2312"/>
          <w:b/>
          <w:sz w:val="30"/>
          <w:szCs w:val="30"/>
        </w:rPr>
      </w:pPr>
      <w:r>
        <w:rPr>
          <w:rFonts w:ascii="仿宋_GB2312"/>
          <w:b/>
          <w:sz w:val="30"/>
          <w:szCs w:val="30"/>
        </w:rPr>
        <w:t>3</w:t>
      </w:r>
      <w:r>
        <w:rPr>
          <w:rFonts w:hint="eastAsia" w:ascii="仿宋_GB2312"/>
          <w:b/>
          <w:sz w:val="30"/>
          <w:szCs w:val="30"/>
        </w:rPr>
        <w:t>、气象防灾减灾体系不断完善</w:t>
      </w:r>
    </w:p>
    <w:p>
      <w:pPr>
        <w:spacing w:line="240" w:lineRule="auto"/>
        <w:ind w:firstLine="592" w:firstLineChars="200"/>
        <w:rPr>
          <w:rFonts w:ascii="仿宋_GB2312"/>
          <w:sz w:val="30"/>
          <w:szCs w:val="30"/>
        </w:rPr>
      </w:pPr>
      <w:r>
        <w:rPr>
          <w:rFonts w:hint="eastAsia" w:ascii="仿宋_GB2312"/>
          <w:b/>
          <w:sz w:val="30"/>
          <w:szCs w:val="30"/>
        </w:rPr>
        <w:t>气象灾害防御工作进一步推进。</w:t>
      </w:r>
      <w:r>
        <w:rPr>
          <w:rFonts w:ascii="仿宋_GB2312"/>
          <w:sz w:val="30"/>
          <w:szCs w:val="30"/>
        </w:rPr>
        <w:t>“</w:t>
      </w:r>
      <w:r>
        <w:rPr>
          <w:rFonts w:hint="eastAsia" w:ascii="仿宋_GB2312"/>
          <w:sz w:val="30"/>
          <w:szCs w:val="30"/>
        </w:rPr>
        <w:t>政府主导、部门联动、社会参与</w:t>
      </w:r>
      <w:r>
        <w:rPr>
          <w:rFonts w:ascii="仿宋_GB2312"/>
          <w:sz w:val="30"/>
          <w:szCs w:val="30"/>
        </w:rPr>
        <w:t>”</w:t>
      </w:r>
      <w:r>
        <w:rPr>
          <w:rFonts w:hint="eastAsia" w:ascii="仿宋_GB2312"/>
          <w:sz w:val="30"/>
          <w:szCs w:val="30"/>
        </w:rPr>
        <w:t>的气象防灾减灾机制初步形成。发布《宝山区气象灾害防御规划》（</w:t>
      </w:r>
      <w:r>
        <w:rPr>
          <w:rFonts w:ascii="仿宋_GB2312"/>
          <w:sz w:val="30"/>
          <w:szCs w:val="30"/>
        </w:rPr>
        <w:t>2013-2020</w:t>
      </w:r>
      <w:r>
        <w:rPr>
          <w:rFonts w:hint="eastAsia" w:ascii="仿宋_GB2312"/>
          <w:sz w:val="30"/>
          <w:szCs w:val="30"/>
        </w:rPr>
        <w:t>），为政府部门开展气象灾害防御工作提供参考依据。组建了</w:t>
      </w:r>
      <w:r>
        <w:rPr>
          <w:rFonts w:ascii="仿宋_GB2312"/>
          <w:sz w:val="30"/>
          <w:szCs w:val="30"/>
        </w:rPr>
        <w:t>4</w:t>
      </w:r>
      <w:r>
        <w:rPr>
          <w:rFonts w:hint="eastAsia" w:ascii="仿宋_GB2312"/>
          <w:sz w:val="30"/>
          <w:szCs w:val="30"/>
        </w:rPr>
        <w:t>个农村气象信息服务站和覆盖全区街镇的</w:t>
      </w:r>
      <w:r>
        <w:rPr>
          <w:rFonts w:ascii="仿宋_GB2312"/>
          <w:sz w:val="30"/>
          <w:szCs w:val="30"/>
        </w:rPr>
        <w:t>10</w:t>
      </w:r>
      <w:r>
        <w:rPr>
          <w:rFonts w:hint="eastAsia" w:ascii="仿宋_GB2312"/>
          <w:sz w:val="30"/>
          <w:szCs w:val="30"/>
        </w:rPr>
        <w:t>8名气象信息员队伍，农村气象灾害防御体系建设以点带面进展良好。联合与安监、消防等成立宝山区防雷安全工作领导小组，建立常态化防雷减灾联动机制。</w:t>
      </w:r>
      <w:r>
        <w:rPr>
          <w:rFonts w:hint="eastAsia" w:ascii="宋体" w:hAnsi="宋体"/>
          <w:color w:val="000000"/>
          <w:sz w:val="30"/>
          <w:szCs w:val="30"/>
        </w:rPr>
        <w:t>完成罗店中学气象特色学校一期（气象实践观测基地）建设和</w:t>
      </w:r>
      <w:r>
        <w:rPr>
          <w:rFonts w:hint="eastAsia" w:ascii="仿宋_GB2312"/>
          <w:sz w:val="30"/>
          <w:szCs w:val="30"/>
        </w:rPr>
        <w:t>气象科普馆修缮，</w:t>
      </w:r>
      <w:r>
        <w:rPr>
          <w:rFonts w:hint="eastAsia" w:ascii="宋体" w:hAnsi="宋体"/>
          <w:color w:val="000000"/>
          <w:sz w:val="30"/>
          <w:szCs w:val="30"/>
        </w:rPr>
        <w:t>以“宝山区中小幼气象科技教育创新联合体”为依托，</w:t>
      </w:r>
      <w:r>
        <w:rPr>
          <w:rFonts w:hint="eastAsia" w:ascii="仿宋_GB2312"/>
          <w:sz w:val="30"/>
          <w:szCs w:val="30"/>
        </w:rPr>
        <w:t>打造“宝山气象”科普品牌，气象灾害防御知识得到有效普及。</w:t>
      </w:r>
    </w:p>
    <w:p>
      <w:pPr>
        <w:spacing w:line="240" w:lineRule="auto"/>
        <w:ind w:firstLine="592" w:firstLineChars="200"/>
        <w:rPr>
          <w:rFonts w:ascii="仿宋_GB2312"/>
          <w:sz w:val="30"/>
          <w:szCs w:val="30"/>
        </w:rPr>
      </w:pPr>
      <w:r>
        <w:rPr>
          <w:rFonts w:hint="eastAsia" w:ascii="仿宋_GB2312"/>
          <w:b/>
          <w:sz w:val="30"/>
          <w:szCs w:val="30"/>
        </w:rPr>
        <w:t>气象应急体系初步形成。</w:t>
      </w:r>
      <w:r>
        <w:rPr>
          <w:rFonts w:hint="eastAsia"/>
          <w:sz w:val="30"/>
          <w:szCs w:val="30"/>
        </w:rPr>
        <w:t>出台了《宝山区人民政府办公室关于加强气象灾害监测预警及信息发布工作的意见》，形成了</w:t>
      </w:r>
      <w:r>
        <w:rPr>
          <w:sz w:val="30"/>
          <w:szCs w:val="30"/>
        </w:rPr>
        <w:t>1</w:t>
      </w:r>
      <w:r>
        <w:rPr>
          <w:rFonts w:hint="eastAsia"/>
          <w:sz w:val="30"/>
          <w:szCs w:val="30"/>
        </w:rPr>
        <w:t>个总体预案《宝山区处置气象灾害应急预案》和</w:t>
      </w:r>
      <w:r>
        <w:rPr>
          <w:sz w:val="30"/>
          <w:szCs w:val="30"/>
        </w:rPr>
        <w:t>5</w:t>
      </w:r>
      <w:r>
        <w:rPr>
          <w:rFonts w:hint="eastAsia"/>
          <w:sz w:val="30"/>
          <w:szCs w:val="30"/>
        </w:rPr>
        <w:t>个专项预案（暴雨、大风、高温、雷电、台风）为主线的气象应急预案体系框架。</w:t>
      </w:r>
      <w:r>
        <w:rPr>
          <w:rFonts w:hint="eastAsia" w:ascii="仿宋_GB2312"/>
          <w:sz w:val="30"/>
          <w:szCs w:val="30"/>
        </w:rPr>
        <w:t>建立了气象应急响应队伍，每年组织和参加各类应急演练</w:t>
      </w:r>
      <w:r>
        <w:rPr>
          <w:rFonts w:ascii="仿宋_GB2312"/>
          <w:sz w:val="30"/>
          <w:szCs w:val="30"/>
        </w:rPr>
        <w:t>2-3</w:t>
      </w:r>
      <w:r>
        <w:rPr>
          <w:rFonts w:hint="eastAsia" w:ascii="仿宋_GB2312"/>
          <w:sz w:val="30"/>
          <w:szCs w:val="30"/>
        </w:rPr>
        <w:t>次，应急演练趋于常态，应急响应机制逐步完善。</w:t>
      </w:r>
    </w:p>
    <w:p>
      <w:pPr>
        <w:spacing w:line="240" w:lineRule="auto"/>
        <w:ind w:firstLine="592" w:firstLineChars="200"/>
        <w:rPr>
          <w:rFonts w:ascii="仿宋_GB2312"/>
          <w:sz w:val="30"/>
          <w:szCs w:val="30"/>
        </w:rPr>
      </w:pPr>
      <w:r>
        <w:rPr>
          <w:rFonts w:hint="eastAsia" w:ascii="仿宋_GB2312"/>
          <w:b/>
          <w:sz w:val="30"/>
          <w:szCs w:val="30"/>
        </w:rPr>
        <w:t>气象行政审批改革不断深化。</w:t>
      </w:r>
      <w:r>
        <w:rPr>
          <w:rFonts w:hint="eastAsia" w:ascii="仿宋_GB2312"/>
          <w:sz w:val="30"/>
          <w:szCs w:val="30"/>
        </w:rPr>
        <w:t>建立和完善气象部门权力和责任清单制度，切实履行法律、法规赋予的各项社会管理职能，不断强化公共气象服务和气象行政管理职能，每年联合安监、消防等部门开展防雷安全大检查，防雷检测覆盖面不断扩大。</w:t>
      </w:r>
    </w:p>
    <w:p>
      <w:pPr>
        <w:pStyle w:val="3"/>
        <w:keepNext/>
        <w:keepLines/>
        <w:spacing w:line="240" w:lineRule="auto"/>
        <w:ind w:firstLine="592" w:firstLineChars="200"/>
        <w:rPr>
          <w:rFonts w:ascii="Arial" w:hAnsi="Arial" w:eastAsia="楷体_GB2312"/>
          <w:bCs/>
          <w:sz w:val="30"/>
        </w:rPr>
      </w:pPr>
      <w:bookmarkStart w:id="8" w:name="_Toc430085783"/>
      <w:bookmarkStart w:id="9" w:name="_Toc430084964"/>
      <w:bookmarkStart w:id="10" w:name="_Toc430098871"/>
      <w:bookmarkStart w:id="11" w:name="_Toc433361485"/>
      <w:r>
        <w:rPr>
          <w:rFonts w:hint="eastAsia" w:ascii="Arial" w:hAnsi="Arial" w:eastAsia="楷体_GB2312"/>
          <w:bCs/>
          <w:sz w:val="30"/>
        </w:rPr>
        <w:t>（二）“十三五”时期面临的形势</w:t>
      </w:r>
      <w:bookmarkEnd w:id="8"/>
      <w:bookmarkEnd w:id="9"/>
      <w:bookmarkEnd w:id="10"/>
      <w:bookmarkEnd w:id="11"/>
    </w:p>
    <w:p>
      <w:pPr>
        <w:spacing w:line="240" w:lineRule="auto"/>
        <w:ind w:firstLine="592" w:firstLineChars="200"/>
        <w:rPr>
          <w:rFonts w:ascii="仿宋_GB2312"/>
          <w:sz w:val="30"/>
          <w:szCs w:val="30"/>
        </w:rPr>
      </w:pPr>
      <w:r>
        <w:rPr>
          <w:rFonts w:ascii="仿宋_GB2312"/>
          <w:sz w:val="30"/>
          <w:szCs w:val="30"/>
        </w:rPr>
        <w:t xml:space="preserve"> “</w:t>
      </w:r>
      <w:r>
        <w:rPr>
          <w:rFonts w:hint="eastAsia" w:ascii="仿宋_GB2312"/>
          <w:sz w:val="30"/>
          <w:szCs w:val="30"/>
        </w:rPr>
        <w:t>十三五</w:t>
      </w:r>
      <w:r>
        <w:rPr>
          <w:rFonts w:ascii="仿宋_GB2312"/>
          <w:sz w:val="30"/>
          <w:szCs w:val="30"/>
        </w:rPr>
        <w:t>”</w:t>
      </w:r>
      <w:r>
        <w:rPr>
          <w:rFonts w:hint="eastAsia" w:ascii="仿宋_GB2312"/>
          <w:sz w:val="30"/>
          <w:szCs w:val="30"/>
        </w:rPr>
        <w:t>时期，我区经济社会发展将按照“两区一体化”总目标和“五个好”总体要求，以“深度融合、转型发展”为主线，进一步深化“三个融合”，全面提升城市化水平，向建设“三创”相促进、“三生”相融合、“三宜”相协调的现代化滨江新城迈进。这一发展阶段对气象服务的需求将更加旺盛和迫切，气象工作需要进一步转变发展方式，加快气象现代化体系建设，全面提升</w:t>
      </w:r>
      <w:r>
        <w:rPr>
          <w:rFonts w:ascii="仿宋_GB2312"/>
          <w:sz w:val="30"/>
          <w:szCs w:val="30"/>
        </w:rPr>
        <w:t>“</w:t>
      </w:r>
      <w:r>
        <w:rPr>
          <w:rFonts w:hint="eastAsia" w:ascii="仿宋_GB2312"/>
          <w:sz w:val="30"/>
          <w:szCs w:val="30"/>
        </w:rPr>
        <w:t>气象预测预报能力、气象防灾减灾能力、应对气候变化能力、开发利用气候资源能力</w:t>
      </w:r>
      <w:r>
        <w:rPr>
          <w:rFonts w:ascii="仿宋_GB2312"/>
          <w:sz w:val="30"/>
          <w:szCs w:val="30"/>
        </w:rPr>
        <w:t>”</w:t>
      </w:r>
      <w:r>
        <w:rPr>
          <w:rFonts w:hint="eastAsia" w:ascii="仿宋_GB2312"/>
          <w:sz w:val="30"/>
          <w:szCs w:val="30"/>
        </w:rPr>
        <w:t>，不断满足宝山经济社会发展和人民生活水平日益提高及气象防灾减灾的需求。</w:t>
      </w:r>
    </w:p>
    <w:p>
      <w:pPr>
        <w:spacing w:line="240" w:lineRule="auto"/>
        <w:ind w:firstLine="592" w:firstLineChars="200"/>
        <w:rPr>
          <w:rFonts w:ascii="仿宋_GB2312"/>
          <w:b/>
          <w:sz w:val="30"/>
          <w:szCs w:val="30"/>
        </w:rPr>
      </w:pPr>
      <w:r>
        <w:rPr>
          <w:rFonts w:ascii="仿宋_GB2312"/>
          <w:b/>
          <w:sz w:val="30"/>
          <w:szCs w:val="30"/>
        </w:rPr>
        <w:t>1</w:t>
      </w:r>
      <w:r>
        <w:rPr>
          <w:rFonts w:hint="eastAsia" w:ascii="仿宋_GB2312"/>
          <w:b/>
          <w:sz w:val="30"/>
          <w:szCs w:val="30"/>
        </w:rPr>
        <w:t>、应对气候变化对气象灾害防御提出了更高要求。</w:t>
      </w:r>
    </w:p>
    <w:p>
      <w:pPr>
        <w:spacing w:line="240" w:lineRule="auto"/>
        <w:ind w:firstLine="592" w:firstLineChars="200"/>
        <w:rPr>
          <w:rFonts w:ascii="仿宋_GB2312"/>
          <w:sz w:val="30"/>
          <w:szCs w:val="30"/>
        </w:rPr>
      </w:pPr>
      <w:r>
        <w:rPr>
          <w:rFonts w:hint="eastAsia" w:ascii="仿宋_GB2312"/>
          <w:sz w:val="30"/>
          <w:szCs w:val="30"/>
        </w:rPr>
        <w:t>宝山区濒江临海，在全球气候持续变暖的背景下，本区遭遇台风、暴雨等极端天气事件的可能性将有所增大，造成的经济损失会有所扩大。统计表明，我国每年因气象灾害造成的损失占国民生产总值的</w:t>
      </w:r>
      <w:r>
        <w:rPr>
          <w:rFonts w:ascii="仿宋_GB2312"/>
          <w:sz w:val="30"/>
          <w:szCs w:val="30"/>
        </w:rPr>
        <w:t>1%-3%</w:t>
      </w:r>
      <w:r>
        <w:rPr>
          <w:rFonts w:hint="eastAsia" w:ascii="仿宋_GB2312"/>
          <w:sz w:val="30"/>
          <w:szCs w:val="30"/>
        </w:rPr>
        <w:t>。因此，建设高分辨、立体化的气象监测网络，提供精细准确的气象预报，提供高时效性、广覆盖的气象预警，对提升和改进本区防灾减灾能力有着越来越重要的作用。区委区政府和社会公众期待进一步增强防灾减灾能力，提高气象灾害监测预报准确性、预警时效性、服务主动性、防御科学性，进一步发挥气象在应对气候变化方面的基础作用，提升为保障宝山经济社会平稳较快发展和保障人民福祉安康提供一流气象服务的能力。</w:t>
      </w:r>
    </w:p>
    <w:p>
      <w:pPr>
        <w:spacing w:line="240" w:lineRule="auto"/>
        <w:ind w:firstLine="592" w:firstLineChars="200"/>
        <w:rPr>
          <w:rFonts w:ascii="仿宋_GB2312" w:hAnsi="??"/>
          <w:color w:val="000000"/>
          <w:sz w:val="30"/>
          <w:szCs w:val="30"/>
        </w:rPr>
      </w:pPr>
      <w:r>
        <w:rPr>
          <w:rFonts w:ascii="仿宋_GB2312"/>
          <w:b/>
          <w:sz w:val="30"/>
          <w:szCs w:val="30"/>
        </w:rPr>
        <w:t>2</w:t>
      </w:r>
      <w:r>
        <w:rPr>
          <w:rFonts w:hint="eastAsia" w:ascii="仿宋_GB2312"/>
          <w:b/>
          <w:sz w:val="30"/>
          <w:szCs w:val="30"/>
        </w:rPr>
        <w:t>、宝山现代化滨江新区建设与气象关联度不断提高</w:t>
      </w:r>
    </w:p>
    <w:p>
      <w:pPr>
        <w:spacing w:line="240" w:lineRule="auto"/>
        <w:ind w:firstLine="592" w:firstLineChars="200"/>
        <w:rPr>
          <w:rFonts w:ascii="仿宋_GB2312" w:hAnsi="??"/>
          <w:sz w:val="30"/>
          <w:szCs w:val="30"/>
        </w:rPr>
      </w:pPr>
      <w:r>
        <w:rPr>
          <w:rFonts w:hint="eastAsia" w:ascii="仿宋_GB2312" w:hAnsi="??"/>
          <w:sz w:val="30"/>
          <w:szCs w:val="30"/>
        </w:rPr>
        <w:t>“十三五”时期，本区将积极服从上海“四个中心”和社会主义国际大都市建设大局，按照“深度转型、融合发展”的发展主线，推动现代化滨江新城区建设。可以预计，部分区域人口密度会不断增长，各类重大社会活动频繁、重大工程建设项目增多，一旦发生气象灾害，对经济社会发展、市民生活造成的损失和危害程度更加剧烈，气象灾害造成的损失较之以往会大幅增加。同时，按照建设智慧、生态、宜居的现代化新城区目标，加强环境保护、推进生态建设、发展生态文明等任务将更加突出，对公共气象服务提出了更高的要求。</w:t>
      </w:r>
    </w:p>
    <w:p>
      <w:pPr>
        <w:spacing w:line="240" w:lineRule="auto"/>
        <w:ind w:firstLine="592" w:firstLineChars="200"/>
        <w:rPr>
          <w:rFonts w:ascii="仿宋_GB2312" w:hAnsi="??"/>
          <w:color w:val="000000"/>
          <w:sz w:val="30"/>
          <w:szCs w:val="30"/>
        </w:rPr>
      </w:pPr>
      <w:r>
        <w:rPr>
          <w:rFonts w:ascii="仿宋_GB2312"/>
          <w:b/>
          <w:sz w:val="30"/>
          <w:szCs w:val="30"/>
        </w:rPr>
        <w:t>3</w:t>
      </w:r>
      <w:r>
        <w:rPr>
          <w:rFonts w:hint="eastAsia" w:ascii="仿宋_GB2312"/>
          <w:b/>
          <w:sz w:val="30"/>
          <w:szCs w:val="30"/>
        </w:rPr>
        <w:t>、政府职能转变要求气象进一步发挥作用</w:t>
      </w:r>
    </w:p>
    <w:p>
      <w:pPr>
        <w:spacing w:line="240" w:lineRule="auto"/>
        <w:ind w:firstLine="592" w:firstLineChars="200"/>
        <w:rPr>
          <w:rFonts w:ascii="??" w:hAnsi="??"/>
          <w:sz w:val="30"/>
          <w:szCs w:val="30"/>
        </w:rPr>
      </w:pPr>
      <w:r>
        <w:rPr>
          <w:rFonts w:hint="eastAsia" w:ascii="??" w:hAnsi="??"/>
          <w:sz w:val="30"/>
          <w:szCs w:val="30"/>
        </w:rPr>
        <w:t>气象部门既承担着政府公共服务职能，同时又具有政府管理职能，</w:t>
      </w:r>
      <w:r>
        <w:rPr>
          <w:rFonts w:hint="eastAsia" w:ascii="仿宋_GB2312" w:hAnsi="??"/>
          <w:sz w:val="30"/>
          <w:szCs w:val="30"/>
        </w:rPr>
        <w:t>在处置与气象相关的事件、启动相应的响应机制方面承担着重要的社会责任</w:t>
      </w:r>
      <w:r>
        <w:rPr>
          <w:rFonts w:hint="eastAsia" w:ascii="??" w:hAnsi="??"/>
          <w:sz w:val="30"/>
          <w:szCs w:val="30"/>
        </w:rPr>
        <w:t>。</w:t>
      </w:r>
      <w:r>
        <w:rPr>
          <w:rFonts w:hint="eastAsia" w:ascii="仿宋_GB2312" w:hAnsi="??"/>
          <w:sz w:val="30"/>
          <w:szCs w:val="30"/>
        </w:rPr>
        <w:t>气象变化与群众生产生活关系密切，气象服务是</w:t>
      </w:r>
      <w:r>
        <w:rPr>
          <w:rFonts w:hint="eastAsia" w:ascii="仿宋_GB2312" w:hAnsi="??"/>
          <w:sz w:val="30"/>
          <w:szCs w:val="30"/>
          <w:lang w:eastAsia="zh-CN"/>
        </w:rPr>
        <w:t>备</w:t>
      </w:r>
      <w:bookmarkStart w:id="73" w:name="_GoBack"/>
      <w:bookmarkEnd w:id="73"/>
      <w:r>
        <w:rPr>
          <w:rFonts w:hint="eastAsia" w:ascii="仿宋_GB2312" w:hAnsi="??"/>
          <w:sz w:val="30"/>
          <w:szCs w:val="30"/>
        </w:rPr>
        <w:t>受关注的公共服务。</w:t>
      </w:r>
      <w:r>
        <w:rPr>
          <w:rFonts w:hint="eastAsia" w:ascii="??" w:hAnsi="??"/>
          <w:sz w:val="30"/>
          <w:szCs w:val="30"/>
        </w:rPr>
        <w:t>服务型政府建设要求气象部门要进一步加强公共气象服务能力，加快建立和完善现代公共气象服务体系，</w:t>
      </w:r>
      <w:r>
        <w:rPr>
          <w:rFonts w:hint="eastAsia" w:ascii="仿宋_GB2312" w:hAnsi="??"/>
          <w:sz w:val="30"/>
          <w:szCs w:val="30"/>
        </w:rPr>
        <w:t>提供及时、主动和有效的气象公共服务</w:t>
      </w:r>
      <w:r>
        <w:rPr>
          <w:rFonts w:hint="eastAsia" w:ascii="??" w:hAnsi="??"/>
          <w:sz w:val="30"/>
          <w:szCs w:val="30"/>
        </w:rPr>
        <w:t>；进一步建立健全相应的法律法规、标准规范和应急预案，加强部门合作，推进气象灾害防御管理，提高行政管理效率。</w:t>
      </w:r>
    </w:p>
    <w:p>
      <w:pPr>
        <w:pStyle w:val="3"/>
        <w:keepNext/>
        <w:keepLines/>
        <w:spacing w:line="240" w:lineRule="auto"/>
        <w:ind w:firstLine="592" w:firstLineChars="200"/>
        <w:rPr>
          <w:rFonts w:ascii="Arial" w:hAnsi="Arial" w:eastAsia="楷体_GB2312"/>
          <w:bCs/>
          <w:sz w:val="30"/>
        </w:rPr>
      </w:pPr>
      <w:bookmarkStart w:id="12" w:name="_Toc433361486"/>
      <w:r>
        <w:rPr>
          <w:rFonts w:hint="eastAsia" w:ascii="Arial" w:hAnsi="Arial" w:eastAsia="楷体_GB2312"/>
          <w:bCs/>
          <w:sz w:val="30"/>
        </w:rPr>
        <w:t>（三）“十三五”时期发展面临的主要问题</w:t>
      </w:r>
      <w:bookmarkEnd w:id="12"/>
    </w:p>
    <w:p>
      <w:pPr>
        <w:spacing w:line="240" w:lineRule="auto"/>
        <w:ind w:firstLine="592" w:firstLineChars="200"/>
        <w:rPr>
          <w:rFonts w:ascii="仿宋_GB2312"/>
          <w:sz w:val="30"/>
          <w:szCs w:val="30"/>
        </w:rPr>
      </w:pPr>
      <w:r>
        <w:rPr>
          <w:rFonts w:hint="eastAsia" w:ascii="仿宋_GB2312"/>
          <w:sz w:val="30"/>
          <w:szCs w:val="30"/>
        </w:rPr>
        <w:t>宝山气象事业</w:t>
      </w:r>
      <w:r>
        <w:rPr>
          <w:rFonts w:ascii="仿宋_GB2312"/>
          <w:sz w:val="30"/>
          <w:szCs w:val="30"/>
        </w:rPr>
        <w:t>“</w:t>
      </w:r>
      <w:r>
        <w:rPr>
          <w:rFonts w:hint="eastAsia" w:ascii="仿宋_GB2312"/>
          <w:sz w:val="30"/>
          <w:szCs w:val="30"/>
        </w:rPr>
        <w:t>十二五</w:t>
      </w:r>
      <w:r>
        <w:rPr>
          <w:rFonts w:ascii="仿宋_GB2312"/>
          <w:sz w:val="30"/>
          <w:szCs w:val="30"/>
        </w:rPr>
        <w:t>”</w:t>
      </w:r>
      <w:r>
        <w:rPr>
          <w:rFonts w:hint="eastAsia" w:ascii="仿宋_GB2312"/>
          <w:sz w:val="30"/>
          <w:szCs w:val="30"/>
        </w:rPr>
        <w:t>的发展为</w:t>
      </w:r>
      <w:r>
        <w:rPr>
          <w:rFonts w:ascii="仿宋_GB2312"/>
          <w:sz w:val="30"/>
          <w:szCs w:val="30"/>
        </w:rPr>
        <w:t>“</w:t>
      </w:r>
      <w:r>
        <w:rPr>
          <w:rFonts w:hint="eastAsia" w:ascii="仿宋_GB2312"/>
          <w:sz w:val="30"/>
          <w:szCs w:val="30"/>
        </w:rPr>
        <w:t>十三五</w:t>
      </w:r>
      <w:r>
        <w:rPr>
          <w:rFonts w:ascii="仿宋_GB2312"/>
          <w:sz w:val="30"/>
          <w:szCs w:val="30"/>
        </w:rPr>
        <w:t>”</w:t>
      </w:r>
      <w:r>
        <w:rPr>
          <w:rFonts w:hint="eastAsia" w:ascii="仿宋_GB2312"/>
          <w:sz w:val="30"/>
          <w:szCs w:val="30"/>
        </w:rPr>
        <w:t>打下了良好的基础，但与上海市气象局和区委区政府的要求相比，与宝山经济社会发展的需求相比，与社会对气象服务的期望和要求相比，仍存在很大差距：</w:t>
      </w:r>
    </w:p>
    <w:p>
      <w:pPr>
        <w:spacing w:line="240" w:lineRule="auto"/>
        <w:ind w:firstLine="592" w:firstLineChars="200"/>
        <w:rPr>
          <w:rFonts w:ascii="仿宋_GB2312"/>
          <w:b/>
          <w:sz w:val="30"/>
          <w:szCs w:val="30"/>
        </w:rPr>
      </w:pPr>
      <w:r>
        <w:rPr>
          <w:rFonts w:ascii="仿宋_GB2312"/>
          <w:b/>
          <w:sz w:val="30"/>
          <w:szCs w:val="30"/>
        </w:rPr>
        <w:t>1</w:t>
      </w:r>
      <w:r>
        <w:rPr>
          <w:rFonts w:hint="eastAsia" w:ascii="仿宋_GB2312"/>
          <w:b/>
          <w:sz w:val="30"/>
          <w:szCs w:val="30"/>
        </w:rPr>
        <w:t>、综合观测能力建设亟需加强</w:t>
      </w:r>
    </w:p>
    <w:p>
      <w:pPr>
        <w:spacing w:line="240" w:lineRule="auto"/>
        <w:ind w:firstLine="592" w:firstLineChars="200"/>
        <w:rPr>
          <w:sz w:val="30"/>
          <w:szCs w:val="30"/>
        </w:rPr>
      </w:pPr>
      <w:r>
        <w:rPr>
          <w:rFonts w:hint="eastAsia"/>
          <w:sz w:val="30"/>
          <w:szCs w:val="30"/>
        </w:rPr>
        <w:t>随着气象现代化不断推进，提高预报预测准确率、增强公共气象服务和应对气候变化能力对观测内容、观测质量和时空分辨率提出了新的更高的要求。当前宝山站气象综合观测能力、技术装备保障水平和资料质量管理体系与气象业务现代化总体要求和国际先进水平仍有较大差距，</w:t>
      </w:r>
      <w:r>
        <w:rPr>
          <w:rFonts w:hint="eastAsia" w:ascii="仿宋_GB2312"/>
          <w:sz w:val="30"/>
          <w:szCs w:val="30"/>
        </w:rPr>
        <w:t>不能满足气象现代化的要求，国家级综合观测基地（宝山气候观象台）的建设还有待进一步加强,承载宝山气象事业跨越发展的能力明显不足。</w:t>
      </w:r>
    </w:p>
    <w:p>
      <w:pPr>
        <w:spacing w:line="240" w:lineRule="auto"/>
        <w:ind w:firstLine="592" w:firstLineChars="200"/>
        <w:rPr>
          <w:rFonts w:ascii="仿宋_GB2312"/>
          <w:b/>
          <w:sz w:val="30"/>
          <w:szCs w:val="30"/>
        </w:rPr>
      </w:pPr>
      <w:r>
        <w:rPr>
          <w:rFonts w:ascii="仿宋_GB2312"/>
          <w:b/>
          <w:sz w:val="30"/>
          <w:szCs w:val="30"/>
        </w:rPr>
        <w:t>2</w:t>
      </w:r>
      <w:r>
        <w:rPr>
          <w:rFonts w:hint="eastAsia" w:ascii="仿宋_GB2312"/>
          <w:b/>
          <w:sz w:val="30"/>
          <w:szCs w:val="30"/>
        </w:rPr>
        <w:t>、气象灾害监测预警服务能力有待进一步提升</w:t>
      </w:r>
    </w:p>
    <w:p>
      <w:pPr>
        <w:spacing w:line="240" w:lineRule="auto"/>
        <w:ind w:firstLine="592" w:firstLineChars="200"/>
        <w:rPr>
          <w:rFonts w:ascii="仿宋_GB2312"/>
          <w:sz w:val="30"/>
          <w:szCs w:val="30"/>
        </w:rPr>
      </w:pPr>
      <w:r>
        <w:rPr>
          <w:rFonts w:hint="eastAsia" w:ascii="仿宋_GB2312"/>
          <w:sz w:val="30"/>
          <w:szCs w:val="30"/>
        </w:rPr>
        <w:t>区域综合气象观测站网布局有待进一步完善，</w:t>
      </w:r>
      <w:bookmarkStart w:id="13" w:name="_Toc306353549"/>
      <w:bookmarkStart w:id="14" w:name="_Toc292435790"/>
      <w:bookmarkStart w:id="15" w:name="_Toc292434623"/>
      <w:bookmarkStart w:id="16" w:name="_Toc292437907"/>
      <w:bookmarkStart w:id="17" w:name="_Toc292435997"/>
      <w:r>
        <w:rPr>
          <w:rFonts w:hint="eastAsia" w:ascii="仿宋_GB2312"/>
          <w:sz w:val="30"/>
          <w:szCs w:val="30"/>
        </w:rPr>
        <w:t>观测站点分布密度不够，不能准确监测中小尺度降水分布；新一代天气雷达覆盖率亟待提高；专业气象观测网不能适应经济社会发展需要。</w:t>
      </w:r>
      <w:bookmarkEnd w:id="13"/>
      <w:bookmarkEnd w:id="14"/>
      <w:bookmarkEnd w:id="15"/>
      <w:bookmarkEnd w:id="16"/>
      <w:bookmarkEnd w:id="17"/>
      <w:r>
        <w:rPr>
          <w:rFonts w:hint="eastAsia" w:ascii="仿宋_GB2312"/>
          <w:sz w:val="30"/>
          <w:szCs w:val="30"/>
        </w:rPr>
        <w:t>观测设备稳定性、精细度和自动化水平不高，与之配套的通信网络、信息处理、数据存储等系统等尚不完善。</w:t>
      </w:r>
    </w:p>
    <w:p>
      <w:pPr>
        <w:spacing w:line="240" w:lineRule="auto"/>
        <w:ind w:firstLine="592" w:firstLineChars="200"/>
        <w:rPr>
          <w:rFonts w:ascii="仿宋_GB2312"/>
          <w:sz w:val="30"/>
          <w:szCs w:val="30"/>
        </w:rPr>
      </w:pPr>
      <w:r>
        <w:rPr>
          <w:rFonts w:hint="eastAsia" w:ascii="仿宋_GB2312"/>
          <w:sz w:val="30"/>
          <w:szCs w:val="30"/>
        </w:rPr>
        <w:t>气象防灾减灾的信息发布和应急机制尚未完全建立。信息发布的渠道有限，覆盖面不够，发布手段和发布形式较单一。在气象防灾减灾的应对上还没有形成多部门联动的体系，社会化管理职能需要进一步加强。</w:t>
      </w:r>
    </w:p>
    <w:p>
      <w:pPr>
        <w:spacing w:line="240" w:lineRule="auto"/>
        <w:ind w:firstLine="592" w:firstLineChars="200"/>
        <w:rPr>
          <w:rFonts w:ascii="仿宋_GB2312"/>
          <w:b/>
          <w:sz w:val="30"/>
          <w:szCs w:val="30"/>
        </w:rPr>
      </w:pPr>
      <w:r>
        <w:rPr>
          <w:rFonts w:hint="eastAsia" w:ascii="仿宋_GB2312"/>
          <w:b/>
          <w:sz w:val="30"/>
          <w:szCs w:val="30"/>
        </w:rPr>
        <w:t>3、邮轮气象服务能力建设还不能满足邮轮产业发展</w:t>
      </w:r>
    </w:p>
    <w:p>
      <w:pPr>
        <w:spacing w:line="240" w:lineRule="auto"/>
        <w:ind w:firstLine="592" w:firstLineChars="200"/>
        <w:rPr>
          <w:rFonts w:ascii="仿宋_GB2312"/>
          <w:sz w:val="30"/>
          <w:szCs w:val="30"/>
        </w:rPr>
      </w:pPr>
      <w:r>
        <w:rPr>
          <w:rFonts w:hint="eastAsia" w:ascii="仿宋_GB2312"/>
          <w:sz w:val="30"/>
          <w:szCs w:val="30"/>
        </w:rPr>
        <w:t>邮轮专业气象观测网尚不能适应邮轮经济发展的需要，气象观测站点分布密度不够，未设置天气实景观测系统，不能准确监测长江口区域大风、大雾、暴雨等敏感天气的分布，观测数据的整合共享机制有待进一步完善。针对邮轮服务需求的气象预报和信息业务系统仍存在不足，与城市气象、海洋气象、水文气象、旅游气象等各类业务系统未有效整合，预报产品不能完全满足邮轮运营的需求。邮轮气象服务产品和服务手段单一，为政府部门、邮轮港、邮轮公司、邮轮游客等服务对象提供的专业气象服务产品针对性不够、精细化程度不高，气象服务的效果和专业性有待进一步提升。</w:t>
      </w:r>
    </w:p>
    <w:p>
      <w:pPr>
        <w:spacing w:line="240" w:lineRule="auto"/>
        <w:ind w:firstLine="592" w:firstLineChars="200"/>
        <w:rPr>
          <w:rFonts w:ascii="仿宋_GB2312"/>
          <w:sz w:val="30"/>
          <w:szCs w:val="30"/>
        </w:rPr>
      </w:pPr>
      <w:r>
        <w:rPr>
          <w:rFonts w:hint="eastAsia" w:ascii="仿宋_GB2312"/>
          <w:b/>
          <w:sz w:val="30"/>
          <w:szCs w:val="30"/>
        </w:rPr>
        <w:t>4、公众气象服务体系仍然难以满足公众需求</w:t>
      </w:r>
    </w:p>
    <w:p>
      <w:pPr>
        <w:spacing w:line="240" w:lineRule="auto"/>
        <w:ind w:firstLine="592" w:firstLineChars="200"/>
        <w:rPr>
          <w:rFonts w:ascii="仿宋_GB2312"/>
          <w:sz w:val="30"/>
          <w:szCs w:val="30"/>
        </w:rPr>
      </w:pPr>
      <w:r>
        <w:rPr>
          <w:rFonts w:hint="eastAsia" w:ascii="仿宋_GB2312"/>
          <w:sz w:val="30"/>
          <w:szCs w:val="30"/>
        </w:rPr>
        <w:t>气象预报预测准确率和精细化程度不够，现代气象预报预测技术和能力，特别是重大灾害性、关键性、转折性天气预报能力需要进一步提高。公共气象服务能力还不能完全适应经济社会发展的需要，专业化水平、业务化能力不足，服务领域有待拓展，服务技术有待发展。在精细化预报服务能力、应急气象服务能力等方面还十分薄弱，尚不能满足人民群众生产生活日益增长的需求。气象服务与农业经济转型要求不相适应，农业气象服务尚未达到专业化、特色化，农民获取气象信息的渠道较少。交通、环境等专业气象观测预报服务能力还很薄弱。</w:t>
      </w:r>
    </w:p>
    <w:p>
      <w:pPr>
        <w:ind w:firstLine="562"/>
        <w:rPr>
          <w:b/>
          <w:sz w:val="30"/>
          <w:szCs w:val="30"/>
        </w:rPr>
      </w:pPr>
      <w:r>
        <w:rPr>
          <w:rFonts w:hint="eastAsia" w:ascii="仿宋_GB2312"/>
          <w:b/>
          <w:sz w:val="30"/>
          <w:szCs w:val="30"/>
        </w:rPr>
        <w:t>5、</w:t>
      </w:r>
      <w:r>
        <w:rPr>
          <w:rFonts w:hint="eastAsia"/>
          <w:b/>
          <w:sz w:val="30"/>
          <w:szCs w:val="30"/>
        </w:rPr>
        <w:t>气象知识普及和教育有待进一步提升</w:t>
      </w:r>
    </w:p>
    <w:p>
      <w:pPr>
        <w:spacing w:line="240" w:lineRule="auto"/>
        <w:ind w:firstLine="592" w:firstLineChars="200"/>
        <w:rPr>
          <w:rFonts w:ascii="仿宋_GB2312"/>
          <w:sz w:val="30"/>
          <w:szCs w:val="30"/>
        </w:rPr>
      </w:pPr>
      <w:r>
        <w:rPr>
          <w:rFonts w:hint="eastAsia" w:ascii="仿宋_GB2312"/>
          <w:sz w:val="30"/>
          <w:szCs w:val="30"/>
        </w:rPr>
        <w:t>宝山经济社会的发展和全球气候的极端化频现，对宝山气象科普和安全教育提出了更高的要求。现有的气象科普工作辐射力和覆盖面还不广泛，未形成一个规范化的体系工程；科普内容缺乏趣味性和创新性，不能很好的满足公众日益增长的文化精神需求；科普宣传载体缺乏创新，大众传播媒介的功能没有得到充分发挥；气象科普的可持续发展道路有待进一步完善。</w:t>
      </w:r>
    </w:p>
    <w:p>
      <w:pPr>
        <w:pStyle w:val="2"/>
        <w:spacing w:before="0" w:after="0" w:line="240" w:lineRule="auto"/>
        <w:ind w:firstLine="592" w:firstLineChars="200"/>
        <w:rPr>
          <w:rFonts w:ascii="Times New Roman" w:eastAsia="黑体"/>
          <w:b w:val="0"/>
          <w:bCs w:val="0"/>
          <w:spacing w:val="0"/>
          <w:sz w:val="30"/>
        </w:rPr>
      </w:pPr>
      <w:bookmarkStart w:id="18" w:name="_Toc433361487"/>
      <w:r>
        <w:rPr>
          <w:rFonts w:hint="eastAsia" w:ascii="Times New Roman" w:eastAsia="黑体"/>
          <w:b w:val="0"/>
          <w:bCs w:val="0"/>
          <w:spacing w:val="0"/>
          <w:sz w:val="30"/>
        </w:rPr>
        <w:t>二、指导思想与发展目标</w:t>
      </w:r>
      <w:bookmarkEnd w:id="18"/>
    </w:p>
    <w:p>
      <w:pPr>
        <w:pStyle w:val="3"/>
        <w:keepNext/>
        <w:keepLines/>
        <w:spacing w:line="240" w:lineRule="auto"/>
        <w:ind w:firstLine="592" w:firstLineChars="200"/>
        <w:rPr>
          <w:rFonts w:ascii="Arial" w:hAnsi="Arial" w:eastAsia="楷体_GB2312"/>
          <w:bCs/>
          <w:sz w:val="30"/>
        </w:rPr>
      </w:pPr>
      <w:bookmarkStart w:id="19" w:name="_Toc433361488"/>
      <w:r>
        <w:rPr>
          <w:rFonts w:hint="eastAsia" w:ascii="Arial" w:hAnsi="Arial" w:eastAsia="楷体_GB2312"/>
          <w:bCs/>
          <w:sz w:val="30"/>
        </w:rPr>
        <w:t>（一）指导思想</w:t>
      </w:r>
      <w:bookmarkEnd w:id="19"/>
    </w:p>
    <w:p>
      <w:pPr>
        <w:spacing w:line="240" w:lineRule="auto"/>
        <w:ind w:firstLine="592" w:firstLineChars="200"/>
        <w:rPr>
          <w:rFonts w:ascii="仿宋_GB2312"/>
          <w:sz w:val="30"/>
          <w:szCs w:val="30"/>
        </w:rPr>
      </w:pPr>
      <w:r>
        <w:rPr>
          <w:rFonts w:hint="eastAsia" w:ascii="仿宋_GB2312"/>
          <w:sz w:val="30"/>
          <w:szCs w:val="30"/>
        </w:rPr>
        <w:t>坚持以邓小平理论、“三个代表”重要思想和科学发展观为指导，深入贯彻落实党的十八大、十八届三中全会和习近平总书记系列重要讲话精神，立足国家“四个全面”战略布局，紧紧围绕宝山区“两区一体化”总目标和“五个好”总要求，按照中国气象局和上海市人民政府《关于加快推进上海率先实现气象现代化的实施意见》要求，继续深化气象改革，推进气象法治化建设，积极融入宝山城乡发展一体化进程、融入宝山智慧城市建设、融入宝山邮轮产业发展，加快发展气象现代化业务体系，在推动科技创新和加强能力建设方面有更大突破，在完善体制机制和台站建设方面迈出更大步伐，在强化公共服务和社会管理职能方面有更大进展，为促进宝山到</w:t>
      </w:r>
      <w:r>
        <w:rPr>
          <w:rFonts w:ascii="仿宋_GB2312"/>
          <w:sz w:val="30"/>
          <w:szCs w:val="30"/>
        </w:rPr>
        <w:t>2020</w:t>
      </w:r>
      <w:r>
        <w:rPr>
          <w:rFonts w:hint="eastAsia" w:ascii="仿宋_GB2312"/>
          <w:sz w:val="30"/>
          <w:szCs w:val="30"/>
        </w:rPr>
        <w:t>年基本建成体现上海国际大都市发展水平，经济稳步增长、环境优美宜居、生活幸福安康、社会文明和谐、城乡协调发展的现代化滨江新城区提供全方位的气象服务。</w:t>
      </w:r>
    </w:p>
    <w:p>
      <w:pPr>
        <w:pStyle w:val="3"/>
        <w:keepNext/>
        <w:keepLines/>
        <w:spacing w:line="240" w:lineRule="auto"/>
        <w:ind w:firstLine="592" w:firstLineChars="200"/>
        <w:rPr>
          <w:rFonts w:ascii="Arial" w:hAnsi="Arial" w:eastAsia="楷体_GB2312"/>
          <w:bCs/>
          <w:sz w:val="30"/>
        </w:rPr>
      </w:pPr>
      <w:bookmarkStart w:id="20" w:name="_Toc433361489"/>
      <w:r>
        <w:rPr>
          <w:rFonts w:hint="eastAsia" w:ascii="Arial" w:hAnsi="Arial" w:eastAsia="楷体_GB2312"/>
          <w:bCs/>
          <w:sz w:val="30"/>
        </w:rPr>
        <w:t>（二）发展目标</w:t>
      </w:r>
      <w:bookmarkEnd w:id="20"/>
    </w:p>
    <w:p>
      <w:pPr>
        <w:spacing w:line="240" w:lineRule="auto"/>
        <w:ind w:firstLine="592" w:firstLineChars="200"/>
        <w:rPr>
          <w:rFonts w:ascii="仿宋_GB2312"/>
          <w:sz w:val="30"/>
          <w:szCs w:val="30"/>
        </w:rPr>
      </w:pPr>
      <w:r>
        <w:rPr>
          <w:rFonts w:hint="eastAsia" w:ascii="仿宋_GB2312"/>
          <w:sz w:val="30"/>
          <w:szCs w:val="30"/>
        </w:rPr>
        <w:t>坚持以业务技术突破为核心的科技能力现代化和以法治保障为依托的社会服务现代化主线，在气象综合观测领域实现重大突破，建成较完善的气象灾害风险管理体系和充满活力的公共气象服务体系，气象依法治理体系建设和气象可持续发展能力显著增强，满足我区经济社会发展和气象防灾减灾的需求。到2016年底，融入全市气象现代化进程，实现在全国率先实现气象现代化的战略目标。到</w:t>
      </w:r>
      <w:r>
        <w:rPr>
          <w:rFonts w:ascii="仿宋_GB2312"/>
          <w:sz w:val="30"/>
          <w:szCs w:val="30"/>
        </w:rPr>
        <w:t>2020</w:t>
      </w:r>
      <w:r>
        <w:rPr>
          <w:rFonts w:hint="eastAsia" w:ascii="仿宋_GB2312"/>
          <w:sz w:val="30"/>
          <w:szCs w:val="30"/>
        </w:rPr>
        <w:t>年，建成适应需求、结构完善、功能先进、集约高效、保障有力的气象现代化体系。具体指标如下：</w:t>
      </w:r>
    </w:p>
    <w:p>
      <w:pPr>
        <w:spacing w:line="240" w:lineRule="auto"/>
        <w:ind w:firstLine="592" w:firstLineChars="200"/>
        <w:rPr>
          <w:rFonts w:ascii="仿宋_GB2312"/>
          <w:sz w:val="30"/>
          <w:szCs w:val="30"/>
        </w:rPr>
      </w:pPr>
      <w:r>
        <w:rPr>
          <w:rFonts w:ascii="仿宋_GB2312"/>
          <w:sz w:val="30"/>
          <w:szCs w:val="30"/>
        </w:rPr>
        <w:t>——</w:t>
      </w:r>
      <w:r>
        <w:rPr>
          <w:rFonts w:hint="eastAsia" w:ascii="仿宋_GB2312"/>
          <w:sz w:val="30"/>
          <w:szCs w:val="30"/>
        </w:rPr>
        <w:t>综合观测能力。区域自动站布点间距由</w:t>
      </w:r>
      <w:r>
        <w:rPr>
          <w:rFonts w:ascii="仿宋_GB2312"/>
          <w:sz w:val="30"/>
          <w:szCs w:val="30"/>
        </w:rPr>
        <w:t>5km</w:t>
      </w:r>
      <w:r>
        <w:rPr>
          <w:rFonts w:hint="eastAsia" w:ascii="仿宋_GB2312"/>
          <w:sz w:val="30"/>
          <w:szCs w:val="30"/>
        </w:rPr>
        <w:t>达到</w:t>
      </w:r>
      <w:r>
        <w:rPr>
          <w:rFonts w:ascii="仿宋_GB2312"/>
          <w:sz w:val="30"/>
          <w:szCs w:val="30"/>
        </w:rPr>
        <w:t>2km</w:t>
      </w:r>
      <w:r>
        <w:rPr>
          <w:rFonts w:hint="eastAsia" w:ascii="仿宋_GB2312"/>
          <w:sz w:val="30"/>
          <w:szCs w:val="30"/>
        </w:rPr>
        <w:t>；气象探测设备正常运行率达到</w:t>
      </w:r>
      <w:r>
        <w:rPr>
          <w:rFonts w:ascii="仿宋_GB2312"/>
          <w:sz w:val="30"/>
          <w:szCs w:val="30"/>
        </w:rPr>
        <w:t>99%</w:t>
      </w:r>
      <w:r>
        <w:rPr>
          <w:rFonts w:hint="eastAsia" w:ascii="仿宋_GB2312"/>
          <w:sz w:val="30"/>
          <w:szCs w:val="30"/>
        </w:rPr>
        <w:t>以上；建设</w:t>
      </w:r>
      <w:r>
        <w:rPr>
          <w:rFonts w:ascii="仿宋_GB2312"/>
          <w:sz w:val="30"/>
          <w:szCs w:val="30"/>
        </w:rPr>
        <w:t>X</w:t>
      </w:r>
      <w:r>
        <w:rPr>
          <w:rFonts w:hint="eastAsia" w:ascii="仿宋_GB2312"/>
          <w:sz w:val="30"/>
          <w:szCs w:val="30"/>
        </w:rPr>
        <w:t>波段多普勒雷达和天气实景监控系统。</w:t>
      </w:r>
    </w:p>
    <w:p>
      <w:pPr>
        <w:spacing w:line="240" w:lineRule="auto"/>
        <w:ind w:firstLine="592" w:firstLineChars="200"/>
        <w:rPr>
          <w:rFonts w:ascii="仿宋_GB2312"/>
          <w:sz w:val="30"/>
          <w:szCs w:val="30"/>
        </w:rPr>
      </w:pPr>
      <w:r>
        <w:rPr>
          <w:rFonts w:ascii="仿宋_GB2312"/>
          <w:sz w:val="30"/>
          <w:szCs w:val="30"/>
        </w:rPr>
        <w:t>——</w:t>
      </w:r>
      <w:r>
        <w:rPr>
          <w:rFonts w:hint="eastAsia" w:ascii="仿宋_GB2312"/>
          <w:sz w:val="30"/>
          <w:szCs w:val="30"/>
        </w:rPr>
        <w:t>灾害性天气监测、应急能力。大范围灾害性天气监测率由</w:t>
      </w:r>
      <w:r>
        <w:rPr>
          <w:rFonts w:ascii="仿宋_GB2312"/>
          <w:sz w:val="30"/>
          <w:szCs w:val="30"/>
        </w:rPr>
        <w:t>90%</w:t>
      </w:r>
      <w:r>
        <w:rPr>
          <w:rFonts w:hint="eastAsia" w:ascii="仿宋_GB2312"/>
          <w:sz w:val="30"/>
          <w:szCs w:val="30"/>
        </w:rPr>
        <w:t>提高到100</w:t>
      </w:r>
      <w:r>
        <w:rPr>
          <w:rFonts w:ascii="仿宋_GB2312"/>
          <w:sz w:val="30"/>
          <w:szCs w:val="30"/>
        </w:rPr>
        <w:t>%</w:t>
      </w:r>
      <w:r>
        <w:rPr>
          <w:rFonts w:hint="eastAsia" w:ascii="仿宋_GB2312"/>
          <w:sz w:val="30"/>
          <w:szCs w:val="30"/>
        </w:rPr>
        <w:t>，气象灾害移动监测应急响应时效由</w:t>
      </w:r>
      <w:r>
        <w:rPr>
          <w:rFonts w:ascii="仿宋_GB2312"/>
          <w:sz w:val="30"/>
          <w:szCs w:val="30"/>
        </w:rPr>
        <w:t>2</w:t>
      </w:r>
      <w:r>
        <w:rPr>
          <w:rFonts w:hint="eastAsia" w:ascii="仿宋_GB2312"/>
          <w:sz w:val="30"/>
          <w:szCs w:val="30"/>
        </w:rPr>
        <w:t>小时之内提高到</w:t>
      </w:r>
      <w:r>
        <w:rPr>
          <w:rFonts w:ascii="仿宋_GB2312"/>
          <w:sz w:val="30"/>
          <w:szCs w:val="30"/>
        </w:rPr>
        <w:t>1.5</w:t>
      </w:r>
      <w:r>
        <w:rPr>
          <w:rFonts w:hint="eastAsia" w:ascii="仿宋_GB2312"/>
          <w:sz w:val="30"/>
          <w:szCs w:val="30"/>
        </w:rPr>
        <w:t>小时之内。</w:t>
      </w:r>
    </w:p>
    <w:p>
      <w:pPr>
        <w:spacing w:line="240" w:lineRule="auto"/>
        <w:ind w:firstLine="592" w:firstLineChars="200"/>
        <w:rPr>
          <w:rFonts w:ascii="仿宋_GB2312"/>
          <w:sz w:val="30"/>
          <w:szCs w:val="30"/>
        </w:rPr>
      </w:pPr>
      <w:r>
        <w:rPr>
          <w:rFonts w:ascii="仿宋_GB2312"/>
          <w:sz w:val="30"/>
          <w:szCs w:val="30"/>
        </w:rPr>
        <w:t>——</w:t>
      </w:r>
      <w:r>
        <w:rPr>
          <w:rFonts w:hint="eastAsia" w:ascii="仿宋_GB2312"/>
          <w:sz w:val="30"/>
          <w:szCs w:val="30"/>
        </w:rPr>
        <w:t>气象预报预警能力。制作7天城镇精细化要素预报产品；台风、暴雨等灾害性天气监测能力在现有水平上提高</w:t>
      </w:r>
      <w:r>
        <w:rPr>
          <w:rFonts w:ascii="仿宋_GB2312"/>
          <w:sz w:val="30"/>
          <w:szCs w:val="30"/>
        </w:rPr>
        <w:t>5</w:t>
      </w:r>
      <w:r>
        <w:rPr>
          <w:rFonts w:hint="eastAsia" w:ascii="仿宋_GB2312"/>
          <w:sz w:val="30"/>
          <w:szCs w:val="30"/>
        </w:rPr>
        <w:t>％以上，预警空间精度精细到街镇，预警时效达到</w:t>
      </w:r>
      <w:r>
        <w:rPr>
          <w:rFonts w:ascii="仿宋_GB2312"/>
          <w:sz w:val="30"/>
          <w:szCs w:val="30"/>
        </w:rPr>
        <w:t>45</w:t>
      </w:r>
      <w:r>
        <w:rPr>
          <w:rFonts w:hint="eastAsia" w:ascii="仿宋_GB2312"/>
          <w:sz w:val="30"/>
          <w:szCs w:val="30"/>
        </w:rPr>
        <w:t>分钟以上。</w:t>
      </w:r>
    </w:p>
    <w:p>
      <w:pPr>
        <w:spacing w:line="240" w:lineRule="auto"/>
        <w:ind w:firstLine="592" w:firstLineChars="200"/>
        <w:rPr>
          <w:rFonts w:ascii="仿宋_GB2312"/>
          <w:sz w:val="30"/>
          <w:szCs w:val="30"/>
        </w:rPr>
      </w:pPr>
      <w:r>
        <w:rPr>
          <w:rFonts w:ascii="仿宋_GB2312"/>
          <w:sz w:val="30"/>
          <w:szCs w:val="30"/>
        </w:rPr>
        <w:t>——</w:t>
      </w:r>
      <w:r>
        <w:rPr>
          <w:rFonts w:hint="eastAsia" w:ascii="仿宋_GB2312"/>
          <w:sz w:val="30"/>
          <w:szCs w:val="30"/>
        </w:rPr>
        <w:t>气象信息发布能力。气象服务的覆盖率、突发气象灾害预警信息公众覆盖率由</w:t>
      </w:r>
      <w:r>
        <w:rPr>
          <w:rFonts w:ascii="仿宋_GB2312"/>
          <w:sz w:val="30"/>
          <w:szCs w:val="30"/>
        </w:rPr>
        <w:t>90%</w:t>
      </w:r>
      <w:r>
        <w:rPr>
          <w:rFonts w:hint="eastAsia" w:ascii="仿宋_GB2312"/>
          <w:sz w:val="30"/>
          <w:szCs w:val="30"/>
        </w:rPr>
        <w:t>提高到</w:t>
      </w:r>
      <w:r>
        <w:rPr>
          <w:rFonts w:ascii="仿宋_GB2312"/>
          <w:sz w:val="30"/>
          <w:szCs w:val="30"/>
        </w:rPr>
        <w:t>95%</w:t>
      </w:r>
      <w:r>
        <w:rPr>
          <w:rFonts w:hint="eastAsia" w:ascii="仿宋_GB2312"/>
          <w:sz w:val="30"/>
          <w:szCs w:val="30"/>
        </w:rPr>
        <w:t>以上。</w:t>
      </w:r>
    </w:p>
    <w:p>
      <w:pPr>
        <w:spacing w:line="240" w:lineRule="auto"/>
        <w:ind w:firstLine="592" w:firstLineChars="200"/>
        <w:rPr>
          <w:rFonts w:ascii="仿宋_GB2312"/>
          <w:sz w:val="30"/>
          <w:szCs w:val="30"/>
        </w:rPr>
      </w:pPr>
      <w:r>
        <w:rPr>
          <w:rFonts w:ascii="仿宋_GB2312"/>
          <w:sz w:val="30"/>
          <w:szCs w:val="30"/>
        </w:rPr>
        <w:t>——</w:t>
      </w:r>
      <w:r>
        <w:rPr>
          <w:rFonts w:hint="eastAsia" w:ascii="仿宋_GB2312"/>
          <w:sz w:val="30"/>
          <w:szCs w:val="30"/>
        </w:rPr>
        <w:t>气象人才队伍素质。到”十三五”末，气象队伍具有硕士以上学位人员比例增长</w:t>
      </w:r>
      <w:r>
        <w:rPr>
          <w:rFonts w:ascii="仿宋_GB2312"/>
          <w:sz w:val="30"/>
          <w:szCs w:val="30"/>
        </w:rPr>
        <w:t>10%</w:t>
      </w:r>
      <w:r>
        <w:rPr>
          <w:rFonts w:hint="eastAsia" w:ascii="仿宋_GB2312"/>
          <w:sz w:val="30"/>
          <w:szCs w:val="30"/>
        </w:rPr>
        <w:t>以上；引进或培养博士生</w:t>
      </w:r>
      <w:r>
        <w:rPr>
          <w:rFonts w:ascii="仿宋_GB2312"/>
          <w:sz w:val="30"/>
          <w:szCs w:val="30"/>
        </w:rPr>
        <w:t>1-2</w:t>
      </w:r>
      <w:r>
        <w:rPr>
          <w:rFonts w:hint="eastAsia" w:ascii="仿宋_GB2312"/>
          <w:sz w:val="30"/>
          <w:szCs w:val="30"/>
        </w:rPr>
        <w:t>人；在关键科技和业务领域，形成具有核心竞争力的稳定团队。</w:t>
      </w:r>
    </w:p>
    <w:p>
      <w:pPr>
        <w:spacing w:line="240" w:lineRule="auto"/>
        <w:ind w:firstLine="592" w:firstLineChars="200"/>
        <w:rPr>
          <w:rFonts w:ascii="仿宋_GB2312"/>
          <w:sz w:val="30"/>
          <w:szCs w:val="30"/>
        </w:rPr>
      </w:pPr>
      <w:r>
        <w:rPr>
          <w:rFonts w:ascii="仿宋_GB2312"/>
          <w:sz w:val="30"/>
          <w:szCs w:val="30"/>
        </w:rPr>
        <w:t>——</w:t>
      </w:r>
      <w:r>
        <w:rPr>
          <w:rFonts w:hint="eastAsia" w:ascii="仿宋_GB2312"/>
          <w:sz w:val="30"/>
          <w:szCs w:val="30"/>
        </w:rPr>
        <w:t>气象防灾减灾体系。构建较为完整的气象灾害应急联动体系；街镇气象服务站覆盖率达到</w:t>
      </w:r>
      <w:r>
        <w:rPr>
          <w:rFonts w:ascii="仿宋_GB2312"/>
          <w:sz w:val="30"/>
          <w:szCs w:val="30"/>
        </w:rPr>
        <w:t>100%</w:t>
      </w:r>
      <w:r>
        <w:rPr>
          <w:rFonts w:hint="eastAsia" w:ascii="仿宋_GB2312"/>
          <w:sz w:val="30"/>
          <w:szCs w:val="30"/>
        </w:rPr>
        <w:t>，进一步扩大气象信息员队伍；建设气象防灾减灾标准化乡镇</w:t>
      </w:r>
      <w:r>
        <w:rPr>
          <w:rFonts w:ascii="仿宋_GB2312"/>
          <w:sz w:val="30"/>
          <w:szCs w:val="30"/>
        </w:rPr>
        <w:t>3-4</w:t>
      </w:r>
      <w:r>
        <w:rPr>
          <w:rFonts w:hint="eastAsia" w:ascii="仿宋_GB2312"/>
          <w:sz w:val="30"/>
          <w:szCs w:val="30"/>
        </w:rPr>
        <w:t>个；防雷重点单位的定期检测覆盖率达到</w:t>
      </w:r>
      <w:r>
        <w:rPr>
          <w:rFonts w:ascii="仿宋_GB2312"/>
          <w:sz w:val="30"/>
          <w:szCs w:val="30"/>
        </w:rPr>
        <w:t>100%</w:t>
      </w:r>
      <w:r>
        <w:rPr>
          <w:rFonts w:hint="eastAsia" w:ascii="仿宋_GB2312"/>
          <w:sz w:val="30"/>
          <w:szCs w:val="30"/>
        </w:rPr>
        <w:t>，农村气象防灾减灾工作进一步推进。</w:t>
      </w:r>
    </w:p>
    <w:p>
      <w:pPr>
        <w:pStyle w:val="2"/>
        <w:spacing w:before="0" w:after="0" w:line="240" w:lineRule="auto"/>
        <w:ind w:firstLine="592" w:firstLineChars="200"/>
        <w:rPr>
          <w:rFonts w:ascii="Times New Roman" w:eastAsia="黑体"/>
          <w:b w:val="0"/>
          <w:bCs w:val="0"/>
          <w:spacing w:val="0"/>
          <w:sz w:val="30"/>
        </w:rPr>
      </w:pPr>
      <w:bookmarkStart w:id="21" w:name="_Toc433361490"/>
      <w:r>
        <w:rPr>
          <w:rFonts w:hint="eastAsia" w:ascii="Times New Roman" w:eastAsia="黑体"/>
          <w:b w:val="0"/>
          <w:bCs w:val="0"/>
          <w:spacing w:val="0"/>
          <w:sz w:val="30"/>
        </w:rPr>
        <w:t>三、主要任务</w:t>
      </w:r>
      <w:bookmarkEnd w:id="21"/>
    </w:p>
    <w:p>
      <w:pPr>
        <w:spacing w:line="240" w:lineRule="auto"/>
        <w:ind w:firstLine="592" w:firstLineChars="200"/>
        <w:rPr>
          <w:rFonts w:ascii="仿宋_GB2312"/>
          <w:sz w:val="30"/>
          <w:szCs w:val="30"/>
        </w:rPr>
      </w:pPr>
      <w:r>
        <w:rPr>
          <w:rFonts w:hint="eastAsia" w:ascii="仿宋_GB2312"/>
          <w:sz w:val="30"/>
          <w:szCs w:val="30"/>
        </w:rPr>
        <w:t>“十三五”期间，宝山气象事业将围绕加强气象防灾减灾能力、</w:t>
      </w:r>
      <w:r>
        <w:rPr>
          <w:rFonts w:ascii="仿宋_GB2312"/>
          <w:sz w:val="30"/>
          <w:szCs w:val="30"/>
        </w:rPr>
        <w:t>强化生态文明气象保障</w:t>
      </w:r>
      <w:r>
        <w:rPr>
          <w:rFonts w:hint="eastAsia" w:ascii="仿宋_GB2312"/>
          <w:sz w:val="30"/>
          <w:szCs w:val="30"/>
        </w:rPr>
        <w:t>和提升公共气象服务均等化水平，健全和完善现代气象业务体系、气象科技创新体系和气象人才体系，大力推进“城乡一体化气象灾害监测预警系统、交通生态气象保障服务工程和邮轮气象服务平台”等项目建设，为宝山社会经济又好又快的发展保驾护航。</w:t>
      </w:r>
    </w:p>
    <w:p>
      <w:pPr>
        <w:pStyle w:val="3"/>
        <w:keepNext/>
        <w:keepLines/>
        <w:spacing w:line="240" w:lineRule="auto"/>
        <w:ind w:firstLine="592" w:firstLineChars="200"/>
        <w:rPr>
          <w:rFonts w:ascii="Arial" w:hAnsi="Arial" w:eastAsia="楷体_GB2312"/>
          <w:bCs/>
          <w:sz w:val="30"/>
        </w:rPr>
      </w:pPr>
      <w:bookmarkStart w:id="22" w:name="_Toc433361491"/>
      <w:r>
        <w:rPr>
          <w:rFonts w:hint="eastAsia" w:ascii="Arial" w:hAnsi="Arial" w:eastAsia="楷体_GB2312"/>
          <w:bCs/>
          <w:sz w:val="30"/>
        </w:rPr>
        <w:t>（一）加强气象防灾减灾，保障平安宝山建设</w:t>
      </w:r>
      <w:bookmarkEnd w:id="22"/>
      <w:bookmarkStart w:id="23" w:name="_Toc282995740"/>
      <w:bookmarkEnd w:id="23"/>
      <w:bookmarkStart w:id="24" w:name="_Toc282885621"/>
      <w:bookmarkEnd w:id="24"/>
      <w:bookmarkStart w:id="25" w:name="_Toc283043906"/>
      <w:bookmarkEnd w:id="25"/>
    </w:p>
    <w:p>
      <w:pPr>
        <w:spacing w:line="240" w:lineRule="auto"/>
        <w:ind w:firstLine="592" w:firstLineChars="200"/>
        <w:rPr>
          <w:rFonts w:ascii="仿宋_GB2312"/>
          <w:sz w:val="30"/>
          <w:szCs w:val="30"/>
        </w:rPr>
      </w:pPr>
      <w:r>
        <w:rPr>
          <w:rFonts w:hint="eastAsia" w:ascii="仿宋_GB2312"/>
          <w:b/>
          <w:sz w:val="30"/>
          <w:szCs w:val="30"/>
        </w:rPr>
        <w:t>强化气象灾害监测预警业务</w:t>
      </w:r>
      <w:bookmarkStart w:id="26" w:name="_Toc282885622"/>
      <w:r>
        <w:rPr>
          <w:rFonts w:hint="eastAsia" w:ascii="仿宋_GB2312"/>
          <w:b/>
          <w:sz w:val="30"/>
          <w:szCs w:val="30"/>
        </w:rPr>
        <w:t>。</w:t>
      </w:r>
      <w:r>
        <w:rPr>
          <w:rFonts w:ascii="仿宋_GB2312"/>
          <w:sz w:val="30"/>
          <w:szCs w:val="30"/>
        </w:rPr>
        <w:t>优化和</w:t>
      </w:r>
      <w:r>
        <w:rPr>
          <w:rFonts w:hint="eastAsia" w:ascii="仿宋_GB2312"/>
          <w:sz w:val="30"/>
          <w:szCs w:val="30"/>
        </w:rPr>
        <w:t>完善自动气象站、天气雷达、风廓线雷达等灾害性天气观测站网的建设，开展对重点区域主要气象灾害的全天候、高时空分辨率、高精度的综合立体监测，加快推进气象要素观测进一步向气象灾害监测延伸，</w:t>
      </w:r>
      <w:r>
        <w:rPr>
          <w:rFonts w:ascii="仿宋_GB2312"/>
          <w:sz w:val="30"/>
          <w:szCs w:val="30"/>
        </w:rPr>
        <w:t>消除气象灾害监测盲区。</w:t>
      </w:r>
      <w:bookmarkEnd w:id="26"/>
      <w:r>
        <w:rPr>
          <w:rFonts w:ascii="仿宋_GB2312"/>
          <w:sz w:val="30"/>
          <w:szCs w:val="30"/>
        </w:rPr>
        <w:t>完成气象灾害风险普查，建成分灾种、精细化的气象灾害风险区划业务。建立常态化的气象灾害与次生灾害多部门联合调查机制。</w:t>
      </w:r>
      <w:r>
        <w:rPr>
          <w:rFonts w:hint="eastAsia" w:ascii="仿宋_GB2312"/>
          <w:sz w:val="30"/>
          <w:szCs w:val="30"/>
        </w:rPr>
        <w:t>依托市区两级业务资源，</w:t>
      </w:r>
      <w:r>
        <w:rPr>
          <w:rFonts w:ascii="仿宋_GB2312"/>
          <w:sz w:val="30"/>
          <w:szCs w:val="30"/>
        </w:rPr>
        <w:t>建立气象灾害风险预警业务和基于影响的气象预报业务，实现从灾害性天气预警预报向气象灾害风险预警转变。</w:t>
      </w:r>
    </w:p>
    <w:p>
      <w:pPr>
        <w:spacing w:line="240" w:lineRule="auto"/>
        <w:ind w:firstLine="592" w:firstLineChars="200"/>
        <w:rPr>
          <w:rFonts w:ascii="仿宋_GB2312"/>
          <w:sz w:val="30"/>
          <w:szCs w:val="30"/>
        </w:rPr>
      </w:pPr>
      <w:r>
        <w:rPr>
          <w:rFonts w:hint="eastAsia" w:ascii="仿宋_GB2312"/>
          <w:b/>
          <w:sz w:val="30"/>
          <w:szCs w:val="30"/>
        </w:rPr>
        <w:t>加强气象灾害预警信息发布。</w:t>
      </w:r>
      <w:r>
        <w:rPr>
          <w:rFonts w:hint="eastAsia" w:ascii="仿宋_GB2312"/>
          <w:sz w:val="30"/>
          <w:szCs w:val="30"/>
        </w:rPr>
        <w:t>加快推进区级突发公共事件预警信息发布平台建设。建立气象灾害预警信息共享与发布平台，强化信息共享、部门联动和突发公</w:t>
      </w:r>
      <w:bookmarkStart w:id="27" w:name="_Toc283043919"/>
      <w:bookmarkEnd w:id="27"/>
      <w:r>
        <w:rPr>
          <w:rFonts w:hint="eastAsia" w:ascii="仿宋_GB2312"/>
          <w:sz w:val="30"/>
          <w:szCs w:val="30"/>
        </w:rPr>
        <w:t>共事件的联合预警以及预警信息的快速发布，综合运用多种手段、多种渠道使气象灾害预警信息及时有效传递给公众，提高气象灾害预警信息覆盖面、有效性和时效性</w:t>
      </w:r>
      <w:bookmarkStart w:id="28" w:name="_Toc282995742"/>
      <w:bookmarkEnd w:id="28"/>
      <w:bookmarkStart w:id="29" w:name="_Toc283043908"/>
      <w:bookmarkEnd w:id="29"/>
      <w:bookmarkStart w:id="30" w:name="_Toc282995752"/>
      <w:r>
        <w:rPr>
          <w:rFonts w:hint="eastAsia" w:ascii="仿宋_GB2312"/>
          <w:sz w:val="30"/>
          <w:szCs w:val="30"/>
        </w:rPr>
        <w:t>，提高预警及应急响应能力。</w:t>
      </w:r>
      <w:bookmarkEnd w:id="30"/>
    </w:p>
    <w:p>
      <w:pPr>
        <w:spacing w:line="240" w:lineRule="auto"/>
        <w:ind w:firstLine="592" w:firstLineChars="200"/>
        <w:rPr>
          <w:rFonts w:ascii="仿宋_GB2312"/>
          <w:sz w:val="30"/>
          <w:szCs w:val="30"/>
        </w:rPr>
      </w:pPr>
      <w:r>
        <w:rPr>
          <w:rFonts w:hint="eastAsia" w:ascii="仿宋_GB2312"/>
          <w:b/>
          <w:sz w:val="30"/>
          <w:szCs w:val="30"/>
        </w:rPr>
        <w:t>强化气象防灾减灾体系建设</w:t>
      </w:r>
      <w:bookmarkStart w:id="31" w:name="_Toc282885623"/>
      <w:r>
        <w:rPr>
          <w:rFonts w:hint="eastAsia" w:ascii="仿宋_GB2312"/>
          <w:b/>
          <w:sz w:val="30"/>
          <w:szCs w:val="30"/>
        </w:rPr>
        <w:t>。</w:t>
      </w:r>
      <w:r>
        <w:rPr>
          <w:rFonts w:hint="eastAsia" w:ascii="仿宋_GB2312"/>
          <w:sz w:val="30"/>
          <w:szCs w:val="30"/>
        </w:rPr>
        <w:t>进一步完善“政府主导、部门联动、社会参与”的气象防灾减灾体系。</w:t>
      </w:r>
      <w:r>
        <w:rPr>
          <w:rFonts w:ascii="仿宋_GB2312"/>
          <w:sz w:val="30"/>
          <w:szCs w:val="30"/>
        </w:rPr>
        <w:t>推动气象服务融入“智慧城市”建设，将气象服务纳入城乡“网格化”管理平台，提高城市安全运行气象服务保障水平。</w:t>
      </w:r>
      <w:r>
        <w:rPr>
          <w:rFonts w:hint="eastAsia" w:ascii="仿宋_GB2312"/>
          <w:sz w:val="30"/>
          <w:szCs w:val="30"/>
        </w:rPr>
        <w:t>建立健全分灾种气象灾害应急预案和气象灾害评估机制；普及街镇气象工作站，规范和发展街镇、社区气象信息员和村、重点单位气象信息员以及部门联络员队伍；建立气象灾害防御信息跨部门共享和社会协作联动机制。</w:t>
      </w:r>
      <w:bookmarkEnd w:id="31"/>
      <w:bookmarkStart w:id="32" w:name="_Toc282885625"/>
      <w:bookmarkEnd w:id="32"/>
      <w:bookmarkStart w:id="33" w:name="_Toc282995744"/>
      <w:bookmarkEnd w:id="33"/>
      <w:bookmarkStart w:id="34" w:name="_Toc283043910"/>
      <w:bookmarkEnd w:id="34"/>
    </w:p>
    <w:p>
      <w:pPr>
        <w:spacing w:line="240" w:lineRule="auto"/>
        <w:ind w:firstLine="592" w:firstLineChars="200"/>
        <w:rPr>
          <w:rFonts w:ascii="仿宋_GB2312"/>
          <w:sz w:val="30"/>
          <w:szCs w:val="30"/>
        </w:rPr>
      </w:pPr>
      <w:r>
        <w:rPr>
          <w:rFonts w:hint="eastAsia" w:ascii="仿宋_GB2312"/>
          <w:b/>
          <w:sz w:val="30"/>
          <w:szCs w:val="30"/>
        </w:rPr>
        <w:t>加强气象防灾减灾知识普及。</w:t>
      </w:r>
      <w:r>
        <w:rPr>
          <w:rFonts w:hint="eastAsia" w:ascii="仿宋_GB2312"/>
          <w:sz w:val="30"/>
          <w:szCs w:val="30"/>
        </w:rPr>
        <w:t>充分发挥社会力量，利用气象、教育、新闻等资源，建设气象科普教育基地和社区讲堂，加大面向全社会的气象防灾减灾知识宣传教育力度，提高全社会气象防灾减灾意识、知识水平和避险、自救和互救能力，组织群众广泛参与的防灾避灾演练，提高全民的防灾减灾能力。</w:t>
      </w:r>
    </w:p>
    <w:p>
      <w:pPr>
        <w:pStyle w:val="3"/>
        <w:keepNext/>
        <w:keepLines/>
        <w:spacing w:line="240" w:lineRule="auto"/>
        <w:ind w:firstLine="592" w:firstLineChars="200"/>
        <w:rPr>
          <w:rFonts w:ascii="Arial" w:hAnsi="Arial" w:eastAsia="楷体_GB2312"/>
          <w:bCs/>
          <w:sz w:val="30"/>
        </w:rPr>
      </w:pPr>
      <w:bookmarkStart w:id="35" w:name="_Toc433361492"/>
      <w:r>
        <w:rPr>
          <w:rFonts w:hint="eastAsia" w:ascii="Arial" w:hAnsi="Arial" w:eastAsia="楷体_GB2312"/>
          <w:bCs/>
          <w:sz w:val="30"/>
        </w:rPr>
        <w:t>（二）提升公共气象服务，促进经济转型发展</w:t>
      </w:r>
      <w:bookmarkEnd w:id="35"/>
    </w:p>
    <w:p>
      <w:pPr>
        <w:spacing w:line="240" w:lineRule="auto"/>
        <w:ind w:firstLine="592" w:firstLineChars="200"/>
        <w:rPr>
          <w:rFonts w:ascii="仿宋_GB2312"/>
          <w:sz w:val="30"/>
          <w:szCs w:val="30"/>
        </w:rPr>
      </w:pPr>
      <w:bookmarkStart w:id="36" w:name="_Toc282885641"/>
      <w:r>
        <w:rPr>
          <w:rFonts w:hint="eastAsia" w:ascii="仿宋_GB2312"/>
          <w:b/>
          <w:sz w:val="30"/>
          <w:szCs w:val="30"/>
        </w:rPr>
        <w:t>加强交通气象服务。</w:t>
      </w:r>
      <w:bookmarkStart w:id="37" w:name="_Toc282885634"/>
      <w:r>
        <w:rPr>
          <w:rFonts w:hint="eastAsia" w:ascii="仿宋_GB2312"/>
          <w:sz w:val="30"/>
          <w:szCs w:val="30"/>
        </w:rPr>
        <w:t>联合交通部门建设覆盖高速公路网、高架道路等重要地段的交通气象监测系统，开展影响干线交通的气象灾害和高影响天气的监测分析；建立和完善交通气象预报预警服务系统，开展面向交通管理、营运、调度、维护等需要的交通气象服务；加强部门间信息发布设施、数据共享的合作共建，建立和完善交通沿路多种手段气象预报预警信息发布系统。</w:t>
      </w:r>
      <w:bookmarkEnd w:id="37"/>
    </w:p>
    <w:p>
      <w:pPr>
        <w:spacing w:line="240" w:lineRule="auto"/>
        <w:ind w:firstLine="592" w:firstLineChars="200"/>
        <w:rPr>
          <w:rFonts w:ascii="仿宋_GB2312"/>
          <w:sz w:val="30"/>
          <w:szCs w:val="30"/>
        </w:rPr>
      </w:pPr>
      <w:bookmarkStart w:id="38" w:name="_Toc287882942"/>
      <w:r>
        <w:rPr>
          <w:rFonts w:hint="eastAsia" w:ascii="仿宋_GB2312"/>
          <w:b/>
          <w:sz w:val="30"/>
          <w:szCs w:val="30"/>
        </w:rPr>
        <w:t>加强城市生态环境气象</w:t>
      </w:r>
      <w:bookmarkEnd w:id="38"/>
      <w:r>
        <w:rPr>
          <w:rFonts w:hint="eastAsia" w:ascii="仿宋_GB2312"/>
          <w:b/>
          <w:sz w:val="30"/>
          <w:szCs w:val="30"/>
        </w:rPr>
        <w:t>服务。</w:t>
      </w:r>
      <w:r>
        <w:rPr>
          <w:rFonts w:hint="eastAsia" w:ascii="仿宋_GB2312"/>
          <w:sz w:val="30"/>
          <w:szCs w:val="30"/>
        </w:rPr>
        <w:t>联合建设、环保、林业等部门，加快建设城市气象观测系统和雾、霾、酸雨等天气现象监测系统以及大气气溶胶、负氧离子等大气成分监测系统，开展城市人居环境监测分析业务</w:t>
      </w:r>
      <w:bookmarkStart w:id="39" w:name="_Toc217212167"/>
      <w:r>
        <w:rPr>
          <w:rFonts w:hint="eastAsia" w:ascii="仿宋_GB2312"/>
          <w:sz w:val="30"/>
          <w:szCs w:val="30"/>
        </w:rPr>
        <w:t>；围绕建设美丽宝山和全国绿化模范城区等，有针对性地开展城市生态气象服务</w:t>
      </w:r>
      <w:bookmarkEnd w:id="39"/>
      <w:r>
        <w:rPr>
          <w:rFonts w:hint="eastAsia" w:ascii="仿宋_GB2312"/>
          <w:sz w:val="30"/>
          <w:szCs w:val="30"/>
        </w:rPr>
        <w:t>。</w:t>
      </w:r>
    </w:p>
    <w:p>
      <w:pPr>
        <w:spacing w:line="240" w:lineRule="auto"/>
        <w:ind w:firstLine="592" w:firstLineChars="200"/>
        <w:rPr>
          <w:rFonts w:ascii="仿宋_GB2312"/>
          <w:sz w:val="30"/>
          <w:szCs w:val="30"/>
        </w:rPr>
      </w:pPr>
      <w:r>
        <w:rPr>
          <w:rFonts w:hint="eastAsia" w:ascii="仿宋_GB2312"/>
          <w:b/>
          <w:sz w:val="30"/>
          <w:szCs w:val="30"/>
        </w:rPr>
        <w:t>健全现代农业气象服务体系</w:t>
      </w:r>
      <w:bookmarkStart w:id="40" w:name="_Toc282885642"/>
      <w:bookmarkEnd w:id="40"/>
      <w:r>
        <w:rPr>
          <w:rFonts w:hint="eastAsia" w:ascii="仿宋_GB2312"/>
          <w:b/>
          <w:sz w:val="30"/>
          <w:szCs w:val="30"/>
        </w:rPr>
        <w:t>。</w:t>
      </w:r>
      <w:bookmarkEnd w:id="36"/>
      <w:r>
        <w:rPr>
          <w:rFonts w:hint="eastAsia" w:ascii="仿宋_GB2312"/>
          <w:sz w:val="30"/>
          <w:szCs w:val="30"/>
        </w:rPr>
        <w:t>结合农业生产布局，建立面向农业生产的气象监测分析、影响评估和预测预报业务，强化农业专项气象服务，围绕新农村建设健全现代化农业气象服务体系。建设完善农村气象信息发布接收系统，完善气象信息发布手段，提高农村气象信息的覆盖面和及时性；推进乡镇气象工作站建设，加强农民防灾避灾和气象科技信息应用培训，提高农村的气象信息应用和防灾减灾能力。</w:t>
      </w:r>
    </w:p>
    <w:p>
      <w:pPr>
        <w:spacing w:line="240" w:lineRule="auto"/>
        <w:ind w:firstLine="592" w:firstLineChars="200"/>
        <w:rPr>
          <w:rFonts w:ascii="仿宋_GB2312"/>
          <w:sz w:val="30"/>
          <w:szCs w:val="30"/>
        </w:rPr>
      </w:pPr>
      <w:bookmarkStart w:id="41" w:name="_Toc283043921"/>
      <w:bookmarkEnd w:id="41"/>
      <w:bookmarkStart w:id="42" w:name="_Toc282995764"/>
      <w:r>
        <w:rPr>
          <w:rFonts w:hint="eastAsia" w:ascii="仿宋_GB2312"/>
          <w:b/>
          <w:sz w:val="30"/>
          <w:szCs w:val="30"/>
        </w:rPr>
        <w:t>加强邮轮气象服务。</w:t>
      </w:r>
      <w:r>
        <w:rPr>
          <w:rFonts w:hint="eastAsia" w:ascii="仿宋_GB2312"/>
          <w:sz w:val="30"/>
          <w:szCs w:val="30"/>
        </w:rPr>
        <w:t>围绕邮轮港建设，建立邮轮气象服务保障平台，完善邮轮气象观测网和预报预警业务系统，以邮轮进出港线路为重点，</w:t>
      </w:r>
      <w:r>
        <w:rPr>
          <w:rFonts w:ascii="仿宋_GB2312"/>
          <w:sz w:val="30"/>
          <w:szCs w:val="30"/>
        </w:rPr>
        <w:t>建成稳定运行的高精度</w:t>
      </w:r>
      <w:r>
        <w:rPr>
          <w:rFonts w:hint="eastAsia" w:ascii="仿宋_GB2312"/>
          <w:sz w:val="30"/>
          <w:szCs w:val="30"/>
        </w:rPr>
        <w:t>敏感性天气</w:t>
      </w:r>
      <w:r>
        <w:rPr>
          <w:rFonts w:ascii="仿宋_GB2312"/>
          <w:sz w:val="30"/>
          <w:szCs w:val="30"/>
        </w:rPr>
        <w:t>观测站网</w:t>
      </w:r>
      <w:r>
        <w:rPr>
          <w:rFonts w:hint="eastAsia" w:ascii="仿宋_GB2312"/>
          <w:sz w:val="30"/>
          <w:szCs w:val="30"/>
        </w:rPr>
        <w:t>，提高滨江地区、邮轮港区灾害天气的监测、预报、预警能力；完善邮轮港气象综合服务系统，为邮轮游客提供贴身和个性化的气象服务</w:t>
      </w:r>
      <w:r>
        <w:rPr>
          <w:rFonts w:ascii="仿宋_GB2312"/>
          <w:sz w:val="30"/>
          <w:szCs w:val="30"/>
        </w:rPr>
        <w:t>,</w:t>
      </w:r>
      <w:r>
        <w:rPr>
          <w:rFonts w:hint="eastAsia" w:ascii="仿宋_GB2312"/>
          <w:sz w:val="30"/>
          <w:szCs w:val="30"/>
        </w:rPr>
        <w:t>提高邮轮旅游服务质量和效益，扩展气象服务范围，提升邮轮经济整体合力。发挥市、区两级资源优势，为滨江带发展提供多样化的气象服务产品，增强滨江带气象防灾减灾能力，为滨江带经济发展保驾护航。</w:t>
      </w:r>
      <w:r>
        <w:rPr>
          <w:rFonts w:ascii="仿宋_GB2312"/>
          <w:sz w:val="30"/>
          <w:szCs w:val="30"/>
        </w:rPr>
        <w:t xml:space="preserve"> </w:t>
      </w:r>
    </w:p>
    <w:bookmarkEnd w:id="42"/>
    <w:p>
      <w:pPr>
        <w:pStyle w:val="3"/>
        <w:keepNext/>
        <w:keepLines/>
        <w:spacing w:line="240" w:lineRule="auto"/>
        <w:ind w:firstLine="592" w:firstLineChars="200"/>
        <w:rPr>
          <w:rFonts w:ascii="Arial" w:hAnsi="Arial" w:eastAsia="楷体_GB2312"/>
          <w:bCs/>
          <w:sz w:val="30"/>
        </w:rPr>
      </w:pPr>
      <w:bookmarkStart w:id="43" w:name="_Toc290300922"/>
      <w:bookmarkEnd w:id="43"/>
      <w:bookmarkStart w:id="44" w:name="_Toc433361493"/>
      <w:r>
        <w:rPr>
          <w:rFonts w:hint="eastAsia" w:ascii="Arial" w:hAnsi="Arial" w:eastAsia="楷体_GB2312"/>
          <w:bCs/>
          <w:sz w:val="30"/>
        </w:rPr>
        <w:t>（三）坚持创新驱动发展，提高核心业务能力</w:t>
      </w:r>
      <w:bookmarkEnd w:id="44"/>
      <w:bookmarkStart w:id="45" w:name="_Toc283043931"/>
      <w:bookmarkEnd w:id="45"/>
      <w:bookmarkStart w:id="46" w:name="_Toc282995778"/>
      <w:bookmarkEnd w:id="46"/>
      <w:bookmarkStart w:id="47" w:name="_Toc282885653"/>
      <w:bookmarkEnd w:id="47"/>
    </w:p>
    <w:p>
      <w:pPr>
        <w:spacing w:line="240" w:lineRule="auto"/>
        <w:ind w:firstLine="592" w:firstLineChars="200"/>
        <w:rPr>
          <w:rFonts w:ascii="仿宋_GB2312"/>
          <w:sz w:val="30"/>
          <w:szCs w:val="30"/>
        </w:rPr>
      </w:pPr>
      <w:r>
        <w:rPr>
          <w:rFonts w:hint="eastAsia" w:ascii="仿宋_GB2312"/>
          <w:b/>
          <w:sz w:val="30"/>
          <w:szCs w:val="30"/>
        </w:rPr>
        <w:t>加快推进宝山气候观象台建设。</w:t>
      </w:r>
      <w:r>
        <w:rPr>
          <w:rFonts w:hint="eastAsia" w:ascii="仿宋_GB2312"/>
          <w:sz w:val="30"/>
          <w:szCs w:val="30"/>
        </w:rPr>
        <w:t>以建设国内一流台站为目标，积极创建国家级综合观测基地（宝山气候观象台）。建立和完善地面自动化气象观测、高空自动化探测、边界层铁塔通量观测、风廓线雷达和微波辐射观测、大气成分和气溶胶观测、地基水汽观测（</w:t>
      </w:r>
      <w:r>
        <w:rPr>
          <w:rFonts w:ascii="仿宋_GB2312"/>
          <w:sz w:val="30"/>
          <w:szCs w:val="30"/>
        </w:rPr>
        <w:t>GPS/MET</w:t>
      </w:r>
      <w:r>
        <w:rPr>
          <w:rFonts w:hint="eastAsia" w:ascii="仿宋_GB2312"/>
          <w:sz w:val="30"/>
          <w:szCs w:val="30"/>
        </w:rPr>
        <w:t>）、生态观测等观测系统。建设新型观测设备比对观测实验室，积极开展新设备、新技术比对观测试验以及区域站网优化布局外场试验。积极开展气象观测仪器设备的现场测试校准和维护维修业务，建立气象设备的校准业务体系。针对区域强对流天气开展协同观测研究，不断提高强对流天气的观测能力。到</w:t>
      </w:r>
      <w:r>
        <w:rPr>
          <w:rFonts w:ascii="仿宋_GB2312"/>
          <w:sz w:val="30"/>
          <w:szCs w:val="30"/>
        </w:rPr>
        <w:t>2020</w:t>
      </w:r>
      <w:r>
        <w:rPr>
          <w:rFonts w:hint="eastAsia" w:ascii="仿宋_GB2312"/>
          <w:sz w:val="30"/>
          <w:szCs w:val="30"/>
        </w:rPr>
        <w:t>年建立起能基本满足集约化、研究型、开放式业务需求，功能先进，结构优化，布局合理，集约开放的气象综合观测系统，实现对华东江河入海口和海岸带地球气候系统多圈层及其相互作用长期、连续、立体和综合观测。</w:t>
      </w:r>
    </w:p>
    <w:p>
      <w:pPr>
        <w:spacing w:line="240" w:lineRule="auto"/>
        <w:ind w:firstLine="592" w:firstLineChars="200"/>
        <w:rPr>
          <w:rFonts w:ascii="仿宋_GB2312"/>
          <w:sz w:val="30"/>
          <w:szCs w:val="30"/>
        </w:rPr>
      </w:pPr>
      <w:r>
        <w:rPr>
          <w:rFonts w:hint="eastAsia" w:ascii="仿宋_GB2312"/>
          <w:b/>
          <w:sz w:val="30"/>
          <w:szCs w:val="30"/>
        </w:rPr>
        <w:t>建立新型综合一体化业务体系。</w:t>
      </w:r>
      <w:r>
        <w:rPr>
          <w:rFonts w:hint="eastAsia" w:ascii="仿宋_GB2312"/>
          <w:sz w:val="30"/>
          <w:szCs w:val="30"/>
        </w:rPr>
        <w:t>按照中国气象局关于全面推进气象现代化建设和县级气象机构综合改革的决策部署，深化综合气象业务改革，</w:t>
      </w:r>
      <w:r>
        <w:rPr>
          <w:rFonts w:ascii="仿宋_GB2312"/>
          <w:sz w:val="30"/>
          <w:szCs w:val="30"/>
        </w:rPr>
        <w:t>基于标准、高效、统一的数据环境，</w:t>
      </w:r>
      <w:r>
        <w:rPr>
          <w:rFonts w:hint="eastAsia" w:ascii="仿宋_GB2312"/>
          <w:sz w:val="30"/>
          <w:szCs w:val="30"/>
        </w:rPr>
        <w:t>进一步综合、集约、规范日常业务，建立天气监测、预警预报、气象服务、</w:t>
      </w:r>
      <w:r>
        <w:rPr>
          <w:rFonts w:ascii="仿宋_GB2312"/>
          <w:sz w:val="30"/>
          <w:szCs w:val="30"/>
        </w:rPr>
        <w:t>行政管理等智能化、集约化、标准化的气象业务应用和科学管理系统</w:t>
      </w:r>
      <w:r>
        <w:rPr>
          <w:rFonts w:hint="eastAsia" w:ascii="仿宋_GB2312"/>
          <w:sz w:val="30"/>
          <w:szCs w:val="30"/>
        </w:rPr>
        <w:t>。开展数值预报产品的本地化释用，持续提高预报预警技术水平和服务能力。</w:t>
      </w:r>
    </w:p>
    <w:p>
      <w:pPr>
        <w:spacing w:line="240" w:lineRule="auto"/>
        <w:ind w:firstLine="592" w:firstLineChars="200"/>
        <w:rPr>
          <w:rFonts w:ascii="仿宋_GB2312"/>
          <w:sz w:val="30"/>
          <w:szCs w:val="30"/>
        </w:rPr>
      </w:pPr>
      <w:r>
        <w:rPr>
          <w:rFonts w:hint="eastAsia" w:ascii="仿宋_GB2312"/>
          <w:b/>
          <w:sz w:val="30"/>
          <w:szCs w:val="30"/>
        </w:rPr>
        <w:t>加强重点领域的关键技术研发</w:t>
      </w:r>
      <w:bookmarkStart w:id="48" w:name="_Toc282885654"/>
      <w:r>
        <w:rPr>
          <w:rFonts w:hint="eastAsia" w:ascii="仿宋_GB2312"/>
          <w:b/>
          <w:sz w:val="30"/>
          <w:szCs w:val="30"/>
        </w:rPr>
        <w:t>。</w:t>
      </w:r>
      <w:r>
        <w:rPr>
          <w:rFonts w:hint="eastAsia" w:ascii="仿宋_GB2312"/>
          <w:sz w:val="30"/>
          <w:szCs w:val="30"/>
        </w:rPr>
        <w:t>深入研究造成探测数据不稳定的影响因子，找出问题原因，提出改进措施，探索建立台站级质控业务体系。着力在气象灾害监测预警、气象灾害风险评估、气象装备维护保障、气象观测数据分析应用及数据质量控制、农业气象等重点领域取得新突破。</w:t>
      </w:r>
      <w:bookmarkEnd w:id="48"/>
      <w:bookmarkStart w:id="49" w:name="_Toc282995779"/>
      <w:bookmarkEnd w:id="49"/>
      <w:bookmarkStart w:id="50" w:name="_Toc283043932"/>
      <w:bookmarkEnd w:id="50"/>
      <w:bookmarkStart w:id="51" w:name="_Toc282885655"/>
      <w:r>
        <w:rPr>
          <w:rFonts w:hint="eastAsia" w:ascii="仿宋_GB2312"/>
          <w:sz w:val="30"/>
          <w:szCs w:val="30"/>
        </w:rPr>
        <w:t>加强局校和部门合作，推动协同创新，增强适应国家级综合观测基地（宝山气候观象台）建设的业务能力。</w:t>
      </w:r>
      <w:bookmarkEnd w:id="51"/>
      <w:bookmarkStart w:id="52" w:name="_Toc282995780"/>
      <w:bookmarkEnd w:id="52"/>
      <w:bookmarkStart w:id="53" w:name="_Toc283043933"/>
      <w:bookmarkEnd w:id="53"/>
    </w:p>
    <w:p>
      <w:pPr>
        <w:spacing w:line="240" w:lineRule="auto"/>
        <w:ind w:firstLine="592" w:firstLineChars="200"/>
        <w:rPr>
          <w:rFonts w:ascii="仿宋_GB2312"/>
          <w:sz w:val="30"/>
          <w:szCs w:val="30"/>
        </w:rPr>
      </w:pPr>
      <w:r>
        <w:rPr>
          <w:rFonts w:hint="eastAsia" w:ascii="仿宋_GB2312"/>
          <w:b/>
          <w:sz w:val="30"/>
          <w:szCs w:val="30"/>
        </w:rPr>
        <w:t>加大气象教育培训力度</w:t>
      </w:r>
      <w:bookmarkStart w:id="54" w:name="_Toc282885656"/>
      <w:r>
        <w:rPr>
          <w:rFonts w:hint="eastAsia" w:ascii="仿宋_GB2312"/>
          <w:b/>
          <w:sz w:val="30"/>
          <w:szCs w:val="30"/>
        </w:rPr>
        <w:t>。</w:t>
      </w:r>
      <w:r>
        <w:rPr>
          <w:rFonts w:hint="eastAsia" w:ascii="仿宋_GB2312"/>
          <w:sz w:val="30"/>
          <w:szCs w:val="30"/>
        </w:rPr>
        <w:t>积极组织实施全体气象从业人员的大规模培训，使专业技术人员及时了解国内外气象发展的趋势，熟悉和掌握本专业、本学科以及相关学科的新理论、新知识、新信息、新技术、新方法，提高解决实际问题的能力和创新能力。</w:t>
      </w:r>
      <w:bookmarkEnd w:id="54"/>
      <w:bookmarkStart w:id="55" w:name="_Toc283043934"/>
      <w:bookmarkEnd w:id="55"/>
      <w:bookmarkStart w:id="56" w:name="_Toc282995781"/>
      <w:r>
        <w:rPr>
          <w:rFonts w:hint="eastAsia" w:ascii="仿宋_GB2312"/>
          <w:sz w:val="30"/>
          <w:szCs w:val="30"/>
        </w:rPr>
        <w:t>培养和选</w:t>
      </w:r>
      <w:r>
        <w:rPr>
          <w:rFonts w:hint="eastAsia" w:ascii="仿宋_GB2312"/>
          <w:sz w:val="30"/>
          <w:szCs w:val="30"/>
          <w:lang w:eastAsia="zh-CN"/>
        </w:rPr>
        <w:t>拔</w:t>
      </w:r>
      <w:r>
        <w:rPr>
          <w:rFonts w:hint="eastAsia" w:ascii="仿宋_GB2312"/>
          <w:sz w:val="30"/>
          <w:szCs w:val="30"/>
        </w:rPr>
        <w:t>学科带头人和气象技术能手，提升我区气象人才整体素质。</w:t>
      </w:r>
      <w:bookmarkEnd w:id="56"/>
    </w:p>
    <w:p>
      <w:pPr>
        <w:pStyle w:val="3"/>
        <w:keepNext/>
        <w:keepLines/>
        <w:spacing w:line="240" w:lineRule="auto"/>
        <w:ind w:firstLine="592" w:firstLineChars="200"/>
        <w:rPr>
          <w:rFonts w:ascii="Arial" w:hAnsi="Arial" w:eastAsia="楷体_GB2312"/>
          <w:bCs/>
          <w:sz w:val="30"/>
        </w:rPr>
      </w:pPr>
      <w:bookmarkStart w:id="57" w:name="_Toc433361494"/>
      <w:r>
        <w:rPr>
          <w:rFonts w:hint="eastAsia" w:ascii="Arial" w:hAnsi="Arial" w:eastAsia="楷体_GB2312"/>
          <w:bCs/>
          <w:sz w:val="30"/>
        </w:rPr>
        <w:t>（四）转变发展方式，促进气象事业可持续发展</w:t>
      </w:r>
      <w:bookmarkEnd w:id="57"/>
    </w:p>
    <w:p>
      <w:pPr>
        <w:spacing w:line="240" w:lineRule="auto"/>
        <w:ind w:firstLine="592" w:firstLineChars="200"/>
        <w:rPr>
          <w:rFonts w:ascii="仿宋_GB2312"/>
          <w:sz w:val="30"/>
          <w:szCs w:val="30"/>
        </w:rPr>
      </w:pPr>
      <w:r>
        <w:rPr>
          <w:rFonts w:hint="eastAsia" w:ascii="仿宋_GB2312"/>
          <w:b/>
          <w:sz w:val="30"/>
          <w:szCs w:val="30"/>
        </w:rPr>
        <w:t>加快推动气象信息化发展。</w:t>
      </w:r>
      <w:r>
        <w:rPr>
          <w:rFonts w:hint="eastAsia" w:ascii="仿宋_GB2312"/>
          <w:sz w:val="30"/>
          <w:szCs w:val="30"/>
        </w:rPr>
        <w:t>大力推进新一代信息技术与气象信息服务融合发展和创新应用，融入“智慧宝山”建设，发展“智慧气象”。加速传统气象服务方式的互联网化转型，把大数据战略作为一个重点，做好气象业务数据、管理数据的整合，挖掘数据内在价值，发展针对社会经济发展的数据应用。建立智慧气象产品库，构建全媒体气象服务平台，重点突出专属定制气象服务，开发与用户互动式的智能气象服务终端，实现公众用户全方位无缝隙获取气象服务信息，打造基于“互联网+”的便捷高效的智慧气象服务体系。</w:t>
      </w:r>
    </w:p>
    <w:p>
      <w:pPr>
        <w:spacing w:line="240" w:lineRule="auto"/>
        <w:ind w:firstLine="592" w:firstLineChars="200"/>
        <w:rPr>
          <w:rFonts w:ascii="仿宋_GB2312"/>
          <w:sz w:val="30"/>
          <w:szCs w:val="30"/>
        </w:rPr>
      </w:pPr>
      <w:bookmarkStart w:id="58" w:name="_Toc283043923"/>
      <w:bookmarkEnd w:id="58"/>
      <w:bookmarkStart w:id="59" w:name="_Toc282995768"/>
      <w:bookmarkEnd w:id="59"/>
      <w:r>
        <w:rPr>
          <w:rFonts w:hint="eastAsia" w:ascii="仿宋_GB2312"/>
          <w:b/>
          <w:sz w:val="30"/>
          <w:szCs w:val="30"/>
        </w:rPr>
        <w:t>强化台站基础能力建设。</w:t>
      </w:r>
      <w:r>
        <w:rPr>
          <w:rFonts w:hint="eastAsia" w:ascii="仿宋_GB2312"/>
          <w:sz w:val="30"/>
          <w:szCs w:val="30"/>
        </w:rPr>
        <w:t>加强气象台站可持续发展能力建设，全面推进气象台站基础设施的综合改善。加大气象台站工作和生活设施的适应性改造，按照“满足功能、适度超前、留有空间”的要求和“总体规划、分布实施”的思路，全面推进气象台站基础设施综合改善工程建设，切实提高气象业务服务的基础支撑能力，夯实气象事业发展基础。</w:t>
      </w:r>
      <w:bookmarkStart w:id="60" w:name="_Toc283043925"/>
      <w:bookmarkEnd w:id="60"/>
    </w:p>
    <w:p>
      <w:pPr>
        <w:spacing w:line="240" w:lineRule="auto"/>
        <w:ind w:firstLine="592" w:firstLineChars="200"/>
        <w:rPr>
          <w:rFonts w:ascii="仿宋_GB2312"/>
          <w:sz w:val="30"/>
          <w:szCs w:val="30"/>
        </w:rPr>
      </w:pPr>
      <w:r>
        <w:rPr>
          <w:rFonts w:hint="eastAsia" w:ascii="仿宋_GB2312"/>
          <w:b/>
          <w:sz w:val="30"/>
          <w:szCs w:val="30"/>
        </w:rPr>
        <w:t>推进气象法治化建设。</w:t>
      </w:r>
      <w:bookmarkStart w:id="61" w:name="_Toc282885647"/>
      <w:r>
        <w:rPr>
          <w:rFonts w:hint="eastAsia" w:ascii="仿宋_GB2312"/>
          <w:sz w:val="30"/>
          <w:szCs w:val="30"/>
        </w:rPr>
        <w:t>深化气象行政管理方式转变，强化气象社会管理，切实履行法律、法规赋予的气象灾害防御管理、气象行业管理等各项社会管理职能。健全气象行政执法机构和队伍，进一步提高履行气象社会管理的能力和水平，维护气象活动的正常秩序。强化气象灾害防御管理，重点推进气象灾害防御联席会议制度和气象防灾减灾纳入街镇考核工作。加强气象探测环境和设施保护工作。</w:t>
      </w:r>
      <w:bookmarkEnd w:id="61"/>
    </w:p>
    <w:p>
      <w:pPr>
        <w:pStyle w:val="2"/>
        <w:spacing w:before="0" w:after="0" w:line="240" w:lineRule="auto"/>
        <w:ind w:firstLine="592" w:firstLineChars="200"/>
        <w:rPr>
          <w:rFonts w:ascii="Times New Roman" w:eastAsia="黑体"/>
          <w:b w:val="0"/>
          <w:bCs w:val="0"/>
          <w:spacing w:val="0"/>
          <w:sz w:val="30"/>
        </w:rPr>
      </w:pPr>
      <w:bookmarkStart w:id="62" w:name="_Toc433361495"/>
      <w:r>
        <w:rPr>
          <w:rFonts w:hint="eastAsia" w:ascii="Times New Roman" w:eastAsia="黑体"/>
          <w:b w:val="0"/>
          <w:bCs w:val="0"/>
          <w:spacing w:val="0"/>
          <w:sz w:val="30"/>
        </w:rPr>
        <w:t>四、重点建设工程</w:t>
      </w:r>
      <w:bookmarkEnd w:id="62"/>
    </w:p>
    <w:p>
      <w:pPr>
        <w:pStyle w:val="3"/>
        <w:keepNext/>
        <w:keepLines/>
        <w:spacing w:line="240" w:lineRule="auto"/>
        <w:ind w:firstLine="592" w:firstLineChars="200"/>
        <w:rPr>
          <w:rFonts w:ascii="Arial" w:hAnsi="Arial" w:eastAsia="楷体_GB2312"/>
          <w:bCs/>
          <w:sz w:val="30"/>
        </w:rPr>
      </w:pPr>
      <w:r>
        <w:rPr>
          <w:rFonts w:ascii="Arial" w:hAnsi="Arial" w:eastAsia="楷体_GB2312"/>
          <w:bCs/>
          <w:sz w:val="30"/>
        </w:rPr>
        <w:t xml:space="preserve"> </w:t>
      </w:r>
      <w:bookmarkStart w:id="63" w:name="_Toc433361496"/>
      <w:r>
        <w:rPr>
          <w:rFonts w:hint="eastAsia" w:ascii="Arial" w:hAnsi="Arial" w:eastAsia="楷体_GB2312"/>
          <w:bCs/>
          <w:sz w:val="30"/>
        </w:rPr>
        <w:t>（一）城乡一体化气象灾害监测预警系统建设</w:t>
      </w:r>
      <w:bookmarkEnd w:id="63"/>
    </w:p>
    <w:p>
      <w:pPr>
        <w:spacing w:line="240" w:lineRule="auto"/>
        <w:ind w:firstLine="592" w:firstLineChars="200"/>
        <w:rPr>
          <w:rFonts w:ascii="仿宋_GB2312"/>
          <w:sz w:val="30"/>
          <w:szCs w:val="30"/>
        </w:rPr>
      </w:pPr>
      <w:r>
        <w:rPr>
          <w:rFonts w:hint="eastAsia" w:ascii="仿宋_GB2312"/>
          <w:b/>
          <w:sz w:val="30"/>
          <w:szCs w:val="30"/>
        </w:rPr>
        <w:t>气象灾害综合观测站网升级改造。</w:t>
      </w:r>
      <w:r>
        <w:rPr>
          <w:rFonts w:hint="eastAsia" w:ascii="仿宋_GB2312"/>
          <w:sz w:val="30"/>
          <w:szCs w:val="30"/>
        </w:rPr>
        <w:t>全区规划新建自动气象站（含雨量站）13</w:t>
      </w:r>
      <w:r>
        <w:rPr>
          <w:rFonts w:ascii="仿宋_GB2312"/>
          <w:sz w:val="30"/>
          <w:szCs w:val="30"/>
        </w:rPr>
        <w:t>0</w:t>
      </w:r>
      <w:r>
        <w:rPr>
          <w:rFonts w:hint="eastAsia" w:ascii="仿宋_GB2312"/>
          <w:sz w:val="30"/>
          <w:szCs w:val="30"/>
        </w:rPr>
        <w:t>套，升级改造原有</w:t>
      </w:r>
      <w:r>
        <w:rPr>
          <w:rFonts w:ascii="仿宋_GB2312"/>
          <w:sz w:val="30"/>
          <w:szCs w:val="30"/>
        </w:rPr>
        <w:t>30</w:t>
      </w:r>
      <w:r>
        <w:rPr>
          <w:rFonts w:hint="eastAsia" w:ascii="仿宋_GB2312"/>
          <w:sz w:val="30"/>
          <w:szCs w:val="30"/>
        </w:rPr>
        <w:t>套自动区域气象站（含雨量站）。在重要地区布设</w:t>
      </w:r>
      <w:r>
        <w:rPr>
          <w:rFonts w:ascii="仿宋_GB2312"/>
          <w:sz w:val="30"/>
          <w:szCs w:val="30"/>
        </w:rPr>
        <w:t>30</w:t>
      </w:r>
      <w:r>
        <w:rPr>
          <w:rFonts w:hint="eastAsia" w:ascii="仿宋_GB2312"/>
          <w:sz w:val="30"/>
          <w:szCs w:val="30"/>
        </w:rPr>
        <w:t>套实景监控系统，形成有效的气象灾害监测站网系统。完成新一代天气雷达建设，在罗泾布设</w:t>
      </w:r>
      <w:r>
        <w:rPr>
          <w:rFonts w:ascii="仿宋_GB2312"/>
          <w:sz w:val="30"/>
          <w:szCs w:val="30"/>
        </w:rPr>
        <w:t>X</w:t>
      </w:r>
      <w:r>
        <w:rPr>
          <w:rFonts w:hint="eastAsia" w:ascii="仿宋_GB2312"/>
          <w:sz w:val="30"/>
          <w:szCs w:val="30"/>
        </w:rPr>
        <w:t>波段多普勒警戒雷达1部，弥补宝山北部地区（含邮轮港水域）的雷达有效探测盲区，提高气象探测能力。</w:t>
      </w:r>
    </w:p>
    <w:p>
      <w:pPr>
        <w:spacing w:line="240" w:lineRule="auto"/>
        <w:ind w:firstLine="592" w:firstLineChars="200"/>
        <w:rPr>
          <w:rFonts w:ascii="仿宋_GB2312"/>
          <w:sz w:val="30"/>
          <w:szCs w:val="30"/>
        </w:rPr>
      </w:pPr>
      <w:r>
        <w:rPr>
          <w:rFonts w:hint="eastAsia" w:ascii="仿宋_GB2312"/>
          <w:b/>
          <w:sz w:val="30"/>
          <w:szCs w:val="30"/>
        </w:rPr>
        <w:t>区级预警信息发布中心建设。</w:t>
      </w:r>
      <w:r>
        <w:rPr>
          <w:rFonts w:hint="eastAsia" w:ascii="仿宋_GB2312"/>
          <w:sz w:val="30"/>
          <w:szCs w:val="30"/>
        </w:rPr>
        <w:t>按照“一体化、集约型、开放式”的要求，在现有应急管理体制框架下，依托气象部门多灾种早期预警业务系统，整合气象、地震、卫生、环保、水务、城建、电力等部门的灾害预警信息，建设气象灾害、流行性疾病、空气扩散危险物质（核、生物、化学）污染、地震、城市火灾、道路积水、积冰等灾害的监测和预警信息数据库，建立预警信息发布共享平台，在重点区域建设预警信息发布大屏幕系统30套，与区城市化网格化管理中心有效衔接，及时向区领导、各部门单位和社会公众提供最及时、全面、权威的预警信息。</w:t>
      </w:r>
    </w:p>
    <w:p>
      <w:pPr>
        <w:spacing w:line="240" w:lineRule="auto"/>
        <w:ind w:firstLine="592" w:firstLineChars="200"/>
        <w:rPr>
          <w:rFonts w:ascii="仿宋_GB2312"/>
          <w:sz w:val="30"/>
          <w:szCs w:val="30"/>
        </w:rPr>
      </w:pPr>
      <w:r>
        <w:rPr>
          <w:rFonts w:hint="eastAsia" w:ascii="Arial" w:hAnsi="Arial" w:eastAsia="楷体_GB2312"/>
          <w:b/>
          <w:bCs/>
          <w:sz w:val="30"/>
          <w:szCs w:val="30"/>
        </w:rPr>
        <w:t>社区气象防灾减灾工程。</w:t>
      </w:r>
      <w:r>
        <w:rPr>
          <w:rFonts w:hint="eastAsia" w:ascii="仿宋_GB2312"/>
          <w:sz w:val="30"/>
          <w:szCs w:val="30"/>
        </w:rPr>
        <w:t>改造并扩建气象馆，引进先进科普设备，利用现代声、光、影、电等高科技手段，突出气象灾害特点，实现气象科普知识性、趣味性和互动性于一体，切实提高广大市民防灾减灾和应对气侯变化的意识和水平。</w:t>
      </w:r>
      <w:r>
        <w:rPr>
          <w:rFonts w:ascii="仿宋_GB2312"/>
          <w:sz w:val="30"/>
          <w:szCs w:val="30"/>
        </w:rPr>
        <w:t>创新社区</w:t>
      </w:r>
      <w:r>
        <w:rPr>
          <w:rFonts w:hint="eastAsia" w:ascii="仿宋_GB2312"/>
          <w:sz w:val="30"/>
          <w:szCs w:val="30"/>
        </w:rPr>
        <w:t>（园区）</w:t>
      </w:r>
      <w:r>
        <w:rPr>
          <w:rFonts w:ascii="仿宋_GB2312"/>
          <w:sz w:val="30"/>
          <w:szCs w:val="30"/>
        </w:rPr>
        <w:t>气象防灾减灾与服务保障工作体制机制，全面推进城乡气象防灾减灾社区（</w:t>
      </w:r>
      <w:r>
        <w:rPr>
          <w:rFonts w:hint="eastAsia" w:ascii="仿宋_GB2312"/>
          <w:sz w:val="30"/>
          <w:szCs w:val="30"/>
        </w:rPr>
        <w:t>园区</w:t>
      </w:r>
      <w:r>
        <w:rPr>
          <w:rFonts w:ascii="仿宋_GB2312"/>
          <w:sz w:val="30"/>
          <w:szCs w:val="30"/>
        </w:rPr>
        <w:t>）建设</w:t>
      </w:r>
      <w:r>
        <w:rPr>
          <w:rFonts w:hint="eastAsia" w:ascii="仿宋_GB2312"/>
          <w:sz w:val="30"/>
          <w:szCs w:val="30"/>
        </w:rPr>
        <w:t>。通过气象灾害风险普查，选取受灾害性天气影响的重点社区(园区)，在该区域安装气象及灾害监测设备，开展高影响天气影响下承灾体受影响程度监测，并在监测数据分析的基础上，建立区域气象灾害风险关系阈值，提出针对性、可操作的灾中、灾后防御措施。以“宝山区中小学气象科普教育创新联合体”为平台，发挥其在学校、社区、防灾减灾科普教育的辐射引领作用。在全区选取</w:t>
      </w:r>
      <w:r>
        <w:rPr>
          <w:rFonts w:ascii="仿宋_GB2312"/>
          <w:sz w:val="30"/>
          <w:szCs w:val="30"/>
        </w:rPr>
        <w:t>3-5</w:t>
      </w:r>
      <w:r>
        <w:rPr>
          <w:rFonts w:hint="eastAsia" w:ascii="仿宋_GB2312"/>
          <w:sz w:val="30"/>
          <w:szCs w:val="30"/>
        </w:rPr>
        <w:t>个社区（村）开设“气象科普讲堂”，开展气象科普素质教育试点工作，开展乡村干部和气象信息员培训工程。</w:t>
      </w:r>
    </w:p>
    <w:p>
      <w:pPr>
        <w:pStyle w:val="3"/>
        <w:keepNext/>
        <w:keepLines/>
        <w:spacing w:line="240" w:lineRule="auto"/>
        <w:ind w:firstLine="592" w:firstLineChars="200"/>
        <w:rPr>
          <w:rFonts w:ascii="Arial" w:hAnsi="Arial" w:eastAsia="楷体_GB2312"/>
          <w:bCs/>
          <w:sz w:val="30"/>
        </w:rPr>
      </w:pPr>
      <w:bookmarkStart w:id="64" w:name="_Toc433361497"/>
      <w:r>
        <w:rPr>
          <w:rFonts w:hint="eastAsia" w:ascii="Arial" w:hAnsi="Arial" w:eastAsia="楷体_GB2312"/>
          <w:bCs/>
          <w:sz w:val="30"/>
        </w:rPr>
        <w:t>（二）交通生态智能气象服务保障系统建设</w:t>
      </w:r>
      <w:bookmarkEnd w:id="64"/>
    </w:p>
    <w:p>
      <w:pPr>
        <w:spacing w:line="240" w:lineRule="auto"/>
        <w:ind w:firstLine="592" w:firstLineChars="200"/>
        <w:rPr>
          <w:rFonts w:ascii="仿宋_GB2312"/>
          <w:sz w:val="30"/>
          <w:szCs w:val="30"/>
        </w:rPr>
      </w:pPr>
      <w:r>
        <w:rPr>
          <w:rFonts w:hint="eastAsia" w:ascii="仿宋_GB2312"/>
          <w:b/>
          <w:sz w:val="30"/>
          <w:szCs w:val="30"/>
        </w:rPr>
        <w:t>交通气象服务系统。</w:t>
      </w:r>
      <w:r>
        <w:rPr>
          <w:rFonts w:hint="eastAsia" w:ascii="仿宋_GB2312"/>
          <w:sz w:val="30"/>
          <w:szCs w:val="30"/>
        </w:rPr>
        <w:t>建立宝山公路交通气象监测系统，重点加强宝山地区交通主干道和交通枢纽地区，基于自动气象站、能见度仪、路面温度计的大风、大雾、雨雪冰冻天气和高温天气的交通气象监测建设；建立宝山交通气象服务系统，包括宝山公路交通气象预报系统、宝山公路交通气象实时查询和发布系统，开展宝山公路交通天气短临预报服务，实现交通气象监测信息和预报产品在宝山公路交通信息显示终端发布；开展交通气象灾害预警指标研究，提高针对道路交通的大风、大雾、高温、雨雪冰冻等高敏感天气的专业预报水平。</w:t>
      </w:r>
    </w:p>
    <w:p>
      <w:pPr>
        <w:spacing w:line="240" w:lineRule="auto"/>
        <w:ind w:firstLine="592" w:firstLineChars="200"/>
        <w:rPr>
          <w:rFonts w:ascii="仿宋_GB2312"/>
          <w:sz w:val="30"/>
          <w:szCs w:val="30"/>
        </w:rPr>
      </w:pPr>
      <w:r>
        <w:rPr>
          <w:rFonts w:hint="eastAsia" w:ascii="仿宋_GB2312"/>
          <w:b/>
          <w:sz w:val="30"/>
          <w:szCs w:val="30"/>
        </w:rPr>
        <w:t>环境气象服务系统。</w:t>
      </w:r>
      <w:r>
        <w:rPr>
          <w:rFonts w:hint="eastAsia" w:ascii="仿宋_GB2312"/>
          <w:sz w:val="30"/>
          <w:szCs w:val="30"/>
        </w:rPr>
        <w:t>围绕区清洁空气行动计划，建设雾霾、温室气体、大气成分、负氧离子、酸雨、大气层结稳定度等观测系统。开展有毒有害气体扩散等环境气象应急观测和应急保障服务。视条件在旅游景区、敏感社区建设紫外线强度、花粉浓度和空气负离子浓度等观测站。加强重污染天气过程的预测预报技术研究，建立预测预报系统，开展空气污染气象条件预报预警等决策服务业务。根据市级指导预报产品，结合本地观测资料和地理环境，逐步开展霾、能见度、空气质量、敏感疾病风险等环境气象预报预警业务。</w:t>
      </w:r>
    </w:p>
    <w:p>
      <w:pPr>
        <w:spacing w:line="240" w:lineRule="auto"/>
        <w:ind w:firstLine="592" w:firstLineChars="200"/>
        <w:rPr>
          <w:rFonts w:ascii="仿宋_GB2312"/>
          <w:sz w:val="30"/>
          <w:szCs w:val="30"/>
        </w:rPr>
      </w:pPr>
      <w:r>
        <w:rPr>
          <w:rFonts w:hint="eastAsia" w:ascii="仿宋_GB2312"/>
          <w:b/>
          <w:sz w:val="30"/>
          <w:szCs w:val="30"/>
        </w:rPr>
        <w:t>为农气象服务系统。</w:t>
      </w:r>
      <w:r>
        <w:rPr>
          <w:rFonts w:hint="eastAsia" w:ascii="仿宋_GB2312"/>
          <w:sz w:val="30"/>
          <w:szCs w:val="30"/>
        </w:rPr>
        <w:t>建设农业气象监测站网，开展辐射、雨量、温度、湿度、土壤湿度、土壤温度、风向风速实时监测、作物生长动态视频监测和生长发育期农业气象观测。建设农业气象服务系统，开发面向现代农业的气象监测分析、影响评估和预测预报系统，提高农业气象灾害预报预警水平。开展“直通式”农业气象服务，促使农业增产农民增收。开展特色农业气象服务和农家乐休闲旅游气象服务，完成农业气象灾害风险区划，提高农业气象灾害风险防范能力。</w:t>
      </w:r>
    </w:p>
    <w:p>
      <w:pPr>
        <w:pStyle w:val="3"/>
        <w:keepNext/>
        <w:keepLines/>
        <w:spacing w:line="240" w:lineRule="auto"/>
        <w:ind w:firstLine="592" w:firstLineChars="200"/>
        <w:rPr>
          <w:rFonts w:ascii="Arial" w:hAnsi="Arial" w:eastAsia="楷体_GB2312"/>
          <w:bCs/>
          <w:sz w:val="30"/>
        </w:rPr>
      </w:pPr>
      <w:bookmarkStart w:id="65" w:name="_Toc433361498"/>
      <w:r>
        <w:rPr>
          <w:rFonts w:hint="eastAsia" w:ascii="Arial" w:hAnsi="Arial" w:eastAsia="楷体_GB2312"/>
          <w:bCs/>
          <w:sz w:val="30"/>
        </w:rPr>
        <w:t>（三）邮轮气象服务平台建设</w:t>
      </w:r>
      <w:bookmarkEnd w:id="65"/>
    </w:p>
    <w:p>
      <w:pPr>
        <w:ind w:firstLine="592" w:firstLineChars="200"/>
        <w:rPr>
          <w:rFonts w:ascii="仿宋_GB2312"/>
          <w:b/>
          <w:sz w:val="30"/>
          <w:szCs w:val="30"/>
        </w:rPr>
      </w:pPr>
      <w:r>
        <w:rPr>
          <w:rFonts w:hint="eastAsia" w:ascii="仿宋_GB2312"/>
          <w:b/>
          <w:sz w:val="30"/>
          <w:szCs w:val="30"/>
        </w:rPr>
        <w:t>建设邮轮气象台。</w:t>
      </w:r>
      <w:r>
        <w:rPr>
          <w:rFonts w:hint="eastAsia" w:ascii="仿宋_GB2312"/>
          <w:sz w:val="30"/>
          <w:szCs w:val="30"/>
        </w:rPr>
        <w:t>在市区两级气象、旅游部门以及海事部门的领导和指导下，围绕宝山邮轮经济产业发展，以宝山气象台为基础，整合上海乃至华东区域海洋、旅游气象服务业务资源，组建专业化邮轮气象服务机构——</w:t>
      </w:r>
      <w:r>
        <w:rPr>
          <w:rFonts w:hint="eastAsia" w:ascii="仿宋_GB2312"/>
          <w:b/>
          <w:sz w:val="30"/>
          <w:szCs w:val="30"/>
        </w:rPr>
        <w:t>邮轮气象台（或邮轮气象服务中心）</w:t>
      </w:r>
      <w:r>
        <w:rPr>
          <w:rFonts w:hint="eastAsia" w:ascii="仿宋_GB2312"/>
          <w:sz w:val="30"/>
          <w:szCs w:val="30"/>
        </w:rPr>
        <w:t>，专业从事邮轮气象服务工作。</w:t>
      </w:r>
    </w:p>
    <w:p>
      <w:pPr>
        <w:ind w:firstLine="592" w:firstLineChars="200"/>
        <w:rPr>
          <w:rFonts w:ascii="仿宋_GB2312"/>
          <w:b/>
          <w:sz w:val="30"/>
          <w:szCs w:val="30"/>
        </w:rPr>
      </w:pPr>
      <w:r>
        <w:rPr>
          <w:rFonts w:hint="eastAsia" w:ascii="仿宋_GB2312"/>
          <w:b/>
          <w:sz w:val="30"/>
          <w:szCs w:val="30"/>
        </w:rPr>
        <w:t>完善邮轮气象监测网。</w:t>
      </w:r>
      <w:r>
        <w:rPr>
          <w:rFonts w:hint="eastAsia" w:ascii="仿宋_GB2312"/>
          <w:sz w:val="30"/>
          <w:szCs w:val="30"/>
        </w:rPr>
        <w:t>以现有气象观测站网为基础，整合上海及周边地区海洋、水文气象站点，加强整体规划布局，以长江、黄浦江下游沿江地区和长江口航道区为重点，开展风向风速、能见度、气温、湿度等多种气象要素的实时监测，按规划新建或增补若干邮轮气象专业站（包括天气实景站），站点主要包括：吴淞邮轮港、长兴岛、横沙岛、九段沙、南槽东、佘山岛以及长江口灯座、南槽灯座等。</w:t>
      </w:r>
    </w:p>
    <w:p>
      <w:pPr>
        <w:ind w:firstLine="592" w:firstLineChars="200"/>
        <w:rPr>
          <w:rFonts w:ascii="仿宋_GB2312"/>
          <w:b/>
          <w:sz w:val="30"/>
          <w:szCs w:val="30"/>
        </w:rPr>
      </w:pPr>
      <w:r>
        <w:rPr>
          <w:rFonts w:hint="eastAsia" w:ascii="仿宋_GB2312"/>
          <w:b/>
          <w:sz w:val="30"/>
          <w:szCs w:val="30"/>
        </w:rPr>
        <w:t>完善邮轮气象预报和信息业务系统。</w:t>
      </w:r>
      <w:r>
        <w:rPr>
          <w:rFonts w:hint="eastAsia" w:ascii="仿宋_GB2312"/>
          <w:sz w:val="30"/>
          <w:szCs w:val="30"/>
        </w:rPr>
        <w:t>针对邮轮气象服务需求，依托现有城市气象、海洋气象、水文气象、旅游气象业务系统，建设和完善邮轮旅游气象业务系统，推出针对邮轮港区、长江口区、邮轮航线的紫外线、人体舒适度、晕船指数等特色旅游气象产品。建设邮轮气象专用信息网，打通邮轮气象台与市、区两级气象业务平台、邮轮港区运管中心的信息通道，实现邮轮气象监测数据和业务产品多方实时共享。</w:t>
      </w:r>
    </w:p>
    <w:p>
      <w:pPr>
        <w:ind w:firstLine="592" w:firstLineChars="200"/>
        <w:rPr>
          <w:rFonts w:ascii="仿宋_GB2312"/>
          <w:b/>
          <w:sz w:val="30"/>
          <w:szCs w:val="30"/>
        </w:rPr>
      </w:pPr>
      <w:r>
        <w:rPr>
          <w:rFonts w:hint="eastAsia" w:ascii="仿宋_GB2312"/>
          <w:b/>
          <w:sz w:val="30"/>
          <w:szCs w:val="30"/>
        </w:rPr>
        <w:t>完善邮轮气象服务系统。</w:t>
      </w:r>
      <w:r>
        <w:rPr>
          <w:rFonts w:hint="eastAsia" w:ascii="仿宋_GB2312"/>
          <w:sz w:val="30"/>
          <w:szCs w:val="30"/>
        </w:rPr>
        <w:t>研发邮轮气象服务产品，为政府部门、邮轮港、邮轮公司、邮轮游客等服务对象提供有针对性的精细化专业气象服务产品，包括台风、大风、大雾、暴雨、雷电、高温、寒潮、雨雪以及高潮位、浪高等要素的监测预报预警，重点做好9级以上大风、能见度小于</w:t>
      </w:r>
      <w:r>
        <w:rPr>
          <w:rFonts w:ascii="仿宋_GB2312"/>
          <w:sz w:val="30"/>
          <w:szCs w:val="30"/>
        </w:rPr>
        <w:t>1 km</w:t>
      </w:r>
      <w:r>
        <w:rPr>
          <w:rFonts w:hint="eastAsia" w:ascii="仿宋_GB2312"/>
          <w:sz w:val="30"/>
          <w:szCs w:val="30"/>
        </w:rPr>
        <w:t>大雾天气的监测预报预警和服务。针对邮轮游客需求，提供上海和周边地区以及邮轮靠泊景点、邮轮航线气象信息，并做好及紫外线强度、人体舒适度等专业服务。</w:t>
      </w:r>
    </w:p>
    <w:p>
      <w:pPr>
        <w:pStyle w:val="2"/>
        <w:spacing w:before="0" w:after="0" w:line="240" w:lineRule="auto"/>
        <w:ind w:firstLine="592" w:firstLineChars="200"/>
        <w:rPr>
          <w:rFonts w:ascii="Times New Roman" w:eastAsia="黑体"/>
          <w:b w:val="0"/>
          <w:bCs w:val="0"/>
          <w:spacing w:val="0"/>
          <w:sz w:val="30"/>
        </w:rPr>
      </w:pPr>
      <w:bookmarkStart w:id="66" w:name="_Toc433361499"/>
      <w:r>
        <w:rPr>
          <w:rFonts w:hint="eastAsia" w:ascii="Times New Roman" w:eastAsia="黑体"/>
          <w:b w:val="0"/>
          <w:bCs w:val="0"/>
          <w:spacing w:val="0"/>
          <w:sz w:val="30"/>
        </w:rPr>
        <w:t>五、</w:t>
      </w:r>
      <w:bookmarkStart w:id="67" w:name="_Toc251137299"/>
      <w:r>
        <w:rPr>
          <w:rFonts w:hint="eastAsia" w:ascii="Times New Roman" w:eastAsia="黑体"/>
          <w:b w:val="0"/>
          <w:bCs w:val="0"/>
          <w:spacing w:val="0"/>
          <w:sz w:val="30"/>
        </w:rPr>
        <w:t>保障措施</w:t>
      </w:r>
      <w:bookmarkEnd w:id="66"/>
      <w:bookmarkEnd w:id="67"/>
    </w:p>
    <w:p>
      <w:pPr>
        <w:pStyle w:val="3"/>
        <w:keepNext/>
        <w:keepLines/>
        <w:spacing w:line="240" w:lineRule="auto"/>
        <w:ind w:firstLine="592" w:firstLineChars="200"/>
        <w:rPr>
          <w:rFonts w:ascii="Arial" w:hAnsi="Arial" w:eastAsia="楷体_GB2312"/>
          <w:bCs/>
          <w:sz w:val="30"/>
        </w:rPr>
      </w:pPr>
      <w:bookmarkStart w:id="68" w:name="_Toc433361500"/>
      <w:r>
        <w:rPr>
          <w:rFonts w:hint="eastAsia" w:ascii="Arial" w:hAnsi="Arial" w:eastAsia="楷体_GB2312"/>
          <w:bCs/>
          <w:sz w:val="30"/>
        </w:rPr>
        <w:t>（一）加强组织领导，落实规划任务</w:t>
      </w:r>
      <w:bookmarkEnd w:id="68"/>
    </w:p>
    <w:p>
      <w:pPr>
        <w:spacing w:line="240" w:lineRule="auto"/>
        <w:ind w:firstLine="592" w:firstLineChars="200"/>
        <w:rPr>
          <w:rFonts w:ascii="仿宋_GB2312"/>
          <w:sz w:val="30"/>
          <w:szCs w:val="30"/>
        </w:rPr>
      </w:pPr>
      <w:r>
        <w:rPr>
          <w:rFonts w:hint="eastAsia" w:ascii="仿宋_GB2312"/>
          <w:sz w:val="30"/>
          <w:szCs w:val="30"/>
        </w:rPr>
        <w:t>进一步加强和深化气象部门与地方政府双重领导，强化战略规划，进一步解放思想，开拓创新，从解决制约气象事业整体发展的突出问题入手，注重统筹规划和管理，制定配套政策与措施；紧密结合政府职能转变，加强公共气象服务和社会管理职能。将气象发展规划目标和任务纳入政府以及气象部门的工作计划；充分运用公共资源，加快气象基础设施建设，完成规划所确定的主要任务。</w:t>
      </w:r>
    </w:p>
    <w:p>
      <w:pPr>
        <w:pStyle w:val="3"/>
        <w:keepNext/>
        <w:keepLines/>
        <w:spacing w:line="240" w:lineRule="auto"/>
        <w:ind w:firstLine="592" w:firstLineChars="200"/>
        <w:rPr>
          <w:rFonts w:ascii="Arial" w:hAnsi="Arial" w:eastAsia="楷体_GB2312"/>
          <w:bCs/>
          <w:sz w:val="30"/>
        </w:rPr>
      </w:pPr>
      <w:bookmarkStart w:id="69" w:name="_Toc433361501"/>
      <w:r>
        <w:rPr>
          <w:rFonts w:hint="eastAsia" w:ascii="Arial" w:hAnsi="Arial" w:eastAsia="楷体_GB2312"/>
          <w:bCs/>
          <w:sz w:val="30"/>
        </w:rPr>
        <w:t>（二）健全体制机制，优化发展环境</w:t>
      </w:r>
      <w:bookmarkEnd w:id="69"/>
    </w:p>
    <w:p>
      <w:pPr>
        <w:spacing w:line="240" w:lineRule="auto"/>
        <w:ind w:firstLine="592" w:firstLineChars="200"/>
        <w:rPr>
          <w:rFonts w:ascii="仿宋_GB2312"/>
          <w:sz w:val="30"/>
          <w:szCs w:val="30"/>
        </w:rPr>
      </w:pPr>
      <w:r>
        <w:rPr>
          <w:rFonts w:hint="eastAsia" w:ascii="仿宋_GB2312"/>
          <w:sz w:val="30"/>
          <w:szCs w:val="30"/>
        </w:rPr>
        <w:t>建立健全基层气象防灾减灾应急机制，提高基层气象防灾减灾的能力和水平。进一步加大气象执法体系建设，逐步形成机构健全、队伍精干、管理规范的行政执法体系；加强气象行业管理，按照统一规划气象事业发展、统一设计气象业务布局、统一协调气象现代化建设的原则，建立符合宝山社会经济发展的现代气象业务体系。加大气象法制宣传，不断优化宝山气象事业的发展环境。</w:t>
      </w:r>
    </w:p>
    <w:p>
      <w:pPr>
        <w:pStyle w:val="3"/>
        <w:keepNext/>
        <w:keepLines/>
        <w:spacing w:line="240" w:lineRule="auto"/>
        <w:ind w:firstLine="592" w:firstLineChars="200"/>
        <w:rPr>
          <w:rFonts w:ascii="Arial" w:hAnsi="Arial" w:eastAsia="楷体_GB2312"/>
          <w:bCs/>
          <w:sz w:val="30"/>
        </w:rPr>
      </w:pPr>
      <w:bookmarkStart w:id="70" w:name="_Toc433361502"/>
      <w:r>
        <w:rPr>
          <w:rFonts w:hint="eastAsia" w:ascii="Arial" w:hAnsi="Arial" w:eastAsia="楷体_GB2312"/>
          <w:bCs/>
          <w:sz w:val="30"/>
        </w:rPr>
        <w:t>（三）加大财政投入，落实规划投资</w:t>
      </w:r>
      <w:bookmarkEnd w:id="70"/>
    </w:p>
    <w:p>
      <w:pPr>
        <w:spacing w:line="240" w:lineRule="auto"/>
        <w:ind w:firstLine="592" w:firstLineChars="200"/>
        <w:rPr>
          <w:rFonts w:ascii="仿宋_GB2312"/>
          <w:sz w:val="30"/>
          <w:szCs w:val="30"/>
        </w:rPr>
      </w:pPr>
      <w:r>
        <w:rPr>
          <w:rFonts w:hint="eastAsia" w:ascii="仿宋_GB2312"/>
          <w:sz w:val="30"/>
          <w:szCs w:val="30"/>
        </w:rPr>
        <w:t>按照现代气象业务体系建设的需要，建立和完善稳定可靠的公共财政投入机制，落实双重计划财务体制，</w:t>
      </w:r>
      <w:r>
        <w:rPr>
          <w:rFonts w:ascii="仿宋_GB2312"/>
          <w:sz w:val="30"/>
          <w:szCs w:val="30"/>
        </w:rPr>
        <w:t>进一步明确气象事权和相应的支出责任，</w:t>
      </w:r>
      <w:r>
        <w:rPr>
          <w:rFonts w:hint="eastAsia" w:ascii="仿宋_GB2312"/>
          <w:sz w:val="30"/>
          <w:szCs w:val="30"/>
        </w:rPr>
        <w:t>将为地方服务的气象事业建设经费纳入同级财政预算，形成稳定的国家、市、区三级气象投入渠道。突出重点，优化气象建设投资结构，多渠道落实重点工程建设资金，统筹安排重点气象项目的资金，确保重点工程顺利实施。加强气象资金的使用管理和绩效评价，确保资金安全，提高投资效益。</w:t>
      </w:r>
    </w:p>
    <w:p>
      <w:pPr>
        <w:pStyle w:val="3"/>
        <w:keepNext/>
        <w:keepLines/>
        <w:spacing w:line="240" w:lineRule="auto"/>
        <w:ind w:firstLine="592" w:firstLineChars="200"/>
        <w:rPr>
          <w:rFonts w:ascii="Arial" w:hAnsi="Arial" w:eastAsia="楷体_GB2312"/>
          <w:bCs/>
          <w:sz w:val="30"/>
        </w:rPr>
      </w:pPr>
      <w:bookmarkStart w:id="71" w:name="_Toc433361503"/>
      <w:r>
        <w:rPr>
          <w:rFonts w:hint="eastAsia" w:ascii="Arial" w:hAnsi="Arial" w:eastAsia="楷体_GB2312"/>
          <w:bCs/>
          <w:sz w:val="30"/>
        </w:rPr>
        <w:t>（四）依靠科技创新，注重队伍建设</w:t>
      </w:r>
      <w:bookmarkEnd w:id="71"/>
    </w:p>
    <w:p>
      <w:pPr>
        <w:spacing w:line="240" w:lineRule="auto"/>
        <w:ind w:firstLine="592" w:firstLineChars="200"/>
        <w:rPr>
          <w:rFonts w:ascii="仿宋_GB2312"/>
          <w:sz w:val="30"/>
          <w:szCs w:val="30"/>
        </w:rPr>
      </w:pPr>
      <w:r>
        <w:rPr>
          <w:rFonts w:hint="eastAsia" w:ascii="仿宋_GB2312"/>
          <w:sz w:val="30"/>
          <w:szCs w:val="30"/>
        </w:rPr>
        <w:t>完善科技创新机制，注重科研基础条件建设，搭建科研与业务结合的科技创新平台，促进科研成果转化与应用；继续加强在防灾减灾技术、气象预报预测和公共气象服务创新等方面的科学研究与技术开发。积极实施人才强局战略，大力推行职工素质培养；完善人才吸引工程，采取局校合作、上下合作、部门合作等形式，为培养和吸引人才提供平台。加强制度创新，建立充满生机与活力的用人机制与环境，使人才总量基本满足事业发展需求，人才结构更趋合理。</w:t>
      </w:r>
    </w:p>
    <w:p>
      <w:pPr>
        <w:pStyle w:val="3"/>
        <w:keepNext/>
        <w:keepLines/>
        <w:spacing w:line="240" w:lineRule="auto"/>
        <w:ind w:firstLine="592" w:firstLineChars="200"/>
        <w:rPr>
          <w:rFonts w:ascii="Arial" w:hAnsi="Arial" w:eastAsia="楷体_GB2312"/>
          <w:bCs/>
          <w:sz w:val="30"/>
        </w:rPr>
      </w:pPr>
      <w:bookmarkStart w:id="72" w:name="_Toc433361504"/>
      <w:r>
        <w:rPr>
          <w:rFonts w:hint="eastAsia" w:ascii="Arial" w:hAnsi="Arial" w:eastAsia="楷体_GB2312"/>
          <w:bCs/>
          <w:sz w:val="30"/>
        </w:rPr>
        <w:t>（五）扩大开放合作，推进共建共享</w:t>
      </w:r>
      <w:bookmarkEnd w:id="72"/>
    </w:p>
    <w:p>
      <w:pPr>
        <w:spacing w:line="240" w:lineRule="auto"/>
        <w:ind w:firstLine="592" w:firstLineChars="200"/>
        <w:rPr>
          <w:rFonts w:ascii="仿宋_GB2312"/>
          <w:sz w:val="30"/>
          <w:szCs w:val="30"/>
        </w:rPr>
      </w:pPr>
      <w:r>
        <w:rPr>
          <w:rFonts w:hint="eastAsia" w:ascii="仿宋_GB2312"/>
          <w:sz w:val="30"/>
          <w:szCs w:val="30"/>
        </w:rPr>
        <w:t>继续加强和不断深化气象部门与相关部门、行业、科研机构、院校等的交流与合作，重点推进重大气象科技攻关、气象监测设施建设、提高气象科技创新能力等方面合作；建立和完善气象共建共享机制，努力动员全社会力量，充分运用公共资源，加快气象基础设施建设，提高气象技术装备、预测预报科技水平。积极开展气象交流与合作，继续引进、消化和吸收先进技术和管理经验。</w:t>
      </w:r>
    </w:p>
    <w:sectPr>
      <w:headerReference r:id="rId7" w:type="first"/>
      <w:headerReference r:id="rId5" w:type="default"/>
      <w:footerReference r:id="rId8" w:type="default"/>
      <w:headerReference r:id="rId6" w:type="even"/>
      <w:footerReference r:id="rId9" w:type="even"/>
      <w:pgSz w:w="11906" w:h="16838"/>
      <w:pgMar w:top="2138" w:right="1531" w:bottom="1132" w:left="1531" w:header="851" w:footer="1491" w:gutter="0"/>
      <w:cols w:space="425" w:num="1"/>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Cambria">
    <w:altName w:val="Noto Sans Syriac Eastern"/>
    <w:panose1 w:val="02040503050406030204"/>
    <w:charset w:val="00"/>
    <w:family w:val="roman"/>
    <w:pitch w:val="default"/>
    <w:sig w:usb0="00000000" w:usb1="00000000" w:usb2="00000000"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1620" w:wrap="around" w:vAnchor="text" w:hAnchor="page" w:x="8681" w:y="178"/>
      <w:ind w:left="340"/>
      <w:rPr>
        <w:rStyle w:val="17"/>
        <w:sz w:val="28"/>
      </w:rPr>
    </w:pPr>
    <w:r>
      <w:rPr>
        <w:rStyle w:val="17"/>
        <w:sz w:val="28"/>
      </w:rPr>
      <w:t xml:space="preserve">— </w:t>
    </w:r>
    <w:r>
      <w:rPr>
        <w:rStyle w:val="17"/>
        <w:rFonts w:ascii="宋体" w:hAnsi="宋体" w:eastAsia="宋体"/>
        <w:sz w:val="28"/>
      </w:rPr>
      <w:fldChar w:fldCharType="begin"/>
    </w:r>
    <w:r>
      <w:rPr>
        <w:rStyle w:val="17"/>
        <w:rFonts w:ascii="宋体" w:hAnsi="宋体" w:eastAsia="宋体"/>
        <w:sz w:val="28"/>
      </w:rPr>
      <w:instrText xml:space="preserve">PAGE  </w:instrText>
    </w:r>
    <w:r>
      <w:rPr>
        <w:rStyle w:val="17"/>
        <w:rFonts w:ascii="宋体" w:hAnsi="宋体" w:eastAsia="宋体"/>
        <w:sz w:val="28"/>
      </w:rPr>
      <w:fldChar w:fldCharType="separate"/>
    </w:r>
    <w:r>
      <w:rPr>
        <w:rStyle w:val="17"/>
        <w:rFonts w:ascii="宋体" w:hAnsi="宋体" w:eastAsia="宋体"/>
        <w:sz w:val="28"/>
      </w:rPr>
      <w:t>11</w:t>
    </w:r>
    <w:r>
      <w:rPr>
        <w:rStyle w:val="17"/>
        <w:rFonts w:ascii="宋体" w:hAnsi="宋体" w:eastAsia="宋体"/>
        <w:sz w:val="28"/>
      </w:rPr>
      <w:fldChar w:fldCharType="end"/>
    </w:r>
    <w:r>
      <w:rPr>
        <w:rStyle w:val="17"/>
        <w:sz w:val="28"/>
      </w:rPr>
      <w:t xml:space="preserve"> —</w:t>
    </w:r>
  </w:p>
  <w:p>
    <w:pPr>
      <w:pStyle w:val="9"/>
      <w:ind w:right="360"/>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1620" w:wrap="around" w:vAnchor="text" w:hAnchor="page" w:x="1581" w:y="218"/>
      <w:spacing w:line="280" w:lineRule="exact"/>
      <w:ind w:left="340"/>
      <w:rPr>
        <w:rStyle w:val="17"/>
        <w:sz w:val="28"/>
      </w:rPr>
    </w:pPr>
    <w:r>
      <w:rPr>
        <w:rStyle w:val="17"/>
        <w:sz w:val="28"/>
      </w:rPr>
      <w:t xml:space="preserve">— </w:t>
    </w:r>
    <w:r>
      <w:rPr>
        <w:rStyle w:val="17"/>
        <w:rFonts w:ascii="宋体" w:hAnsi="宋体" w:eastAsia="宋体"/>
        <w:sz w:val="28"/>
      </w:rPr>
      <w:fldChar w:fldCharType="begin"/>
    </w:r>
    <w:r>
      <w:rPr>
        <w:rStyle w:val="17"/>
        <w:rFonts w:ascii="宋体" w:hAnsi="宋体" w:eastAsia="宋体"/>
        <w:sz w:val="28"/>
      </w:rPr>
      <w:instrText xml:space="preserve">PAGE  </w:instrText>
    </w:r>
    <w:r>
      <w:rPr>
        <w:rStyle w:val="17"/>
        <w:rFonts w:ascii="宋体" w:hAnsi="宋体" w:eastAsia="宋体"/>
        <w:sz w:val="28"/>
      </w:rPr>
      <w:fldChar w:fldCharType="separate"/>
    </w:r>
    <w:r>
      <w:rPr>
        <w:rStyle w:val="17"/>
        <w:rFonts w:ascii="宋体" w:hAnsi="宋体" w:eastAsia="宋体"/>
        <w:sz w:val="28"/>
      </w:rPr>
      <w:t>10</w:t>
    </w:r>
    <w:r>
      <w:rPr>
        <w:rStyle w:val="17"/>
        <w:rFonts w:ascii="宋体" w:hAnsi="宋体" w:eastAsia="宋体"/>
        <w:sz w:val="28"/>
      </w:rPr>
      <w:fldChar w:fldCharType="end"/>
    </w:r>
    <w:r>
      <w:rPr>
        <w:rStyle w:val="17"/>
        <w:sz w:val="28"/>
      </w:rPr>
      <w:t xml:space="preserve"> —</w:t>
    </w:r>
  </w:p>
  <w:p>
    <w:pPr>
      <w:pStyle w:val="9"/>
      <w:tabs>
        <w:tab w:val="right" w:pos="8460"/>
        <w:tab w:val="clear" w:pos="8306"/>
      </w:tabs>
      <w:ind w:right="212"/>
      <w:jc w:val="right"/>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rsids>
    <w:rsidRoot w:val="00B877D3"/>
    <w:rsid w:val="00001191"/>
    <w:rsid w:val="0000319C"/>
    <w:rsid w:val="00005707"/>
    <w:rsid w:val="00005864"/>
    <w:rsid w:val="00005F71"/>
    <w:rsid w:val="00006202"/>
    <w:rsid w:val="00006B39"/>
    <w:rsid w:val="0001014B"/>
    <w:rsid w:val="00011266"/>
    <w:rsid w:val="00011FF3"/>
    <w:rsid w:val="00013D29"/>
    <w:rsid w:val="000217C2"/>
    <w:rsid w:val="000217CB"/>
    <w:rsid w:val="00021D04"/>
    <w:rsid w:val="00022F9E"/>
    <w:rsid w:val="00023460"/>
    <w:rsid w:val="0002481A"/>
    <w:rsid w:val="00024924"/>
    <w:rsid w:val="00027B7D"/>
    <w:rsid w:val="00030582"/>
    <w:rsid w:val="00030AEC"/>
    <w:rsid w:val="00032553"/>
    <w:rsid w:val="00035065"/>
    <w:rsid w:val="000352D4"/>
    <w:rsid w:val="00035FCD"/>
    <w:rsid w:val="000374F1"/>
    <w:rsid w:val="00041663"/>
    <w:rsid w:val="00041D9B"/>
    <w:rsid w:val="0004266C"/>
    <w:rsid w:val="0004274A"/>
    <w:rsid w:val="000445E9"/>
    <w:rsid w:val="00044F63"/>
    <w:rsid w:val="000453E2"/>
    <w:rsid w:val="00046952"/>
    <w:rsid w:val="0004781A"/>
    <w:rsid w:val="00047AF5"/>
    <w:rsid w:val="00051DAA"/>
    <w:rsid w:val="00052615"/>
    <w:rsid w:val="00052D1E"/>
    <w:rsid w:val="00052E29"/>
    <w:rsid w:val="000535E8"/>
    <w:rsid w:val="00054B6D"/>
    <w:rsid w:val="00060297"/>
    <w:rsid w:val="0006269E"/>
    <w:rsid w:val="00062E03"/>
    <w:rsid w:val="000630A7"/>
    <w:rsid w:val="0006411B"/>
    <w:rsid w:val="000649F4"/>
    <w:rsid w:val="00070999"/>
    <w:rsid w:val="00072416"/>
    <w:rsid w:val="000736EB"/>
    <w:rsid w:val="00073800"/>
    <w:rsid w:val="0007394C"/>
    <w:rsid w:val="00073A74"/>
    <w:rsid w:val="00073F9E"/>
    <w:rsid w:val="0007571A"/>
    <w:rsid w:val="00077093"/>
    <w:rsid w:val="000770B3"/>
    <w:rsid w:val="00077504"/>
    <w:rsid w:val="00077A87"/>
    <w:rsid w:val="00077B0F"/>
    <w:rsid w:val="00082471"/>
    <w:rsid w:val="00082BA1"/>
    <w:rsid w:val="00086837"/>
    <w:rsid w:val="00087A4A"/>
    <w:rsid w:val="000933DC"/>
    <w:rsid w:val="00093950"/>
    <w:rsid w:val="00094E81"/>
    <w:rsid w:val="00095766"/>
    <w:rsid w:val="00095929"/>
    <w:rsid w:val="0009706C"/>
    <w:rsid w:val="000971A2"/>
    <w:rsid w:val="00097A73"/>
    <w:rsid w:val="000A20E9"/>
    <w:rsid w:val="000A3DD8"/>
    <w:rsid w:val="000A3EA2"/>
    <w:rsid w:val="000A58DB"/>
    <w:rsid w:val="000A5EB6"/>
    <w:rsid w:val="000A616E"/>
    <w:rsid w:val="000B151F"/>
    <w:rsid w:val="000B3095"/>
    <w:rsid w:val="000B5E12"/>
    <w:rsid w:val="000B65B2"/>
    <w:rsid w:val="000B67B6"/>
    <w:rsid w:val="000B7BB9"/>
    <w:rsid w:val="000C00F1"/>
    <w:rsid w:val="000C05A7"/>
    <w:rsid w:val="000C258B"/>
    <w:rsid w:val="000C31FE"/>
    <w:rsid w:val="000C3C94"/>
    <w:rsid w:val="000C41C3"/>
    <w:rsid w:val="000C4289"/>
    <w:rsid w:val="000C493D"/>
    <w:rsid w:val="000C4C91"/>
    <w:rsid w:val="000C5B31"/>
    <w:rsid w:val="000C6720"/>
    <w:rsid w:val="000C730B"/>
    <w:rsid w:val="000D1719"/>
    <w:rsid w:val="000D1A7A"/>
    <w:rsid w:val="000D34FE"/>
    <w:rsid w:val="000D41D8"/>
    <w:rsid w:val="000D4617"/>
    <w:rsid w:val="000D4C95"/>
    <w:rsid w:val="000D54C0"/>
    <w:rsid w:val="000D61BF"/>
    <w:rsid w:val="000D64A0"/>
    <w:rsid w:val="000D68FC"/>
    <w:rsid w:val="000E08D9"/>
    <w:rsid w:val="000E0F96"/>
    <w:rsid w:val="000E3877"/>
    <w:rsid w:val="000E4EC6"/>
    <w:rsid w:val="000E4F16"/>
    <w:rsid w:val="000E7383"/>
    <w:rsid w:val="000E7B89"/>
    <w:rsid w:val="000E7C00"/>
    <w:rsid w:val="000F166D"/>
    <w:rsid w:val="000F282E"/>
    <w:rsid w:val="000F52AA"/>
    <w:rsid w:val="000F72EB"/>
    <w:rsid w:val="00100F67"/>
    <w:rsid w:val="00101678"/>
    <w:rsid w:val="0010297E"/>
    <w:rsid w:val="00103EE4"/>
    <w:rsid w:val="001058C0"/>
    <w:rsid w:val="00106909"/>
    <w:rsid w:val="001079DE"/>
    <w:rsid w:val="001131CD"/>
    <w:rsid w:val="00114F01"/>
    <w:rsid w:val="001178CA"/>
    <w:rsid w:val="00120178"/>
    <w:rsid w:val="0012113E"/>
    <w:rsid w:val="00121847"/>
    <w:rsid w:val="001235B2"/>
    <w:rsid w:val="00123DF7"/>
    <w:rsid w:val="001257FA"/>
    <w:rsid w:val="001273B0"/>
    <w:rsid w:val="001278F5"/>
    <w:rsid w:val="00127B8D"/>
    <w:rsid w:val="00130EC5"/>
    <w:rsid w:val="00131ED0"/>
    <w:rsid w:val="00133882"/>
    <w:rsid w:val="00133D1E"/>
    <w:rsid w:val="00133F81"/>
    <w:rsid w:val="001344E8"/>
    <w:rsid w:val="0013546F"/>
    <w:rsid w:val="00135878"/>
    <w:rsid w:val="00135943"/>
    <w:rsid w:val="001366A6"/>
    <w:rsid w:val="001372DE"/>
    <w:rsid w:val="001426D4"/>
    <w:rsid w:val="00142C73"/>
    <w:rsid w:val="001434E2"/>
    <w:rsid w:val="0014469D"/>
    <w:rsid w:val="00144A25"/>
    <w:rsid w:val="00144EBC"/>
    <w:rsid w:val="00145E8D"/>
    <w:rsid w:val="00146DF3"/>
    <w:rsid w:val="00147474"/>
    <w:rsid w:val="00147B06"/>
    <w:rsid w:val="00152ABB"/>
    <w:rsid w:val="00153C04"/>
    <w:rsid w:val="00154118"/>
    <w:rsid w:val="0015421C"/>
    <w:rsid w:val="00154250"/>
    <w:rsid w:val="001551C1"/>
    <w:rsid w:val="0015699C"/>
    <w:rsid w:val="00162E41"/>
    <w:rsid w:val="001659F4"/>
    <w:rsid w:val="001669CE"/>
    <w:rsid w:val="0016727A"/>
    <w:rsid w:val="00167ED0"/>
    <w:rsid w:val="0017037F"/>
    <w:rsid w:val="001716F1"/>
    <w:rsid w:val="0017316B"/>
    <w:rsid w:val="001760A8"/>
    <w:rsid w:val="00177D64"/>
    <w:rsid w:val="00177E34"/>
    <w:rsid w:val="001823FE"/>
    <w:rsid w:val="00183387"/>
    <w:rsid w:val="00185291"/>
    <w:rsid w:val="00185CE7"/>
    <w:rsid w:val="001860CD"/>
    <w:rsid w:val="00187E6C"/>
    <w:rsid w:val="001905D6"/>
    <w:rsid w:val="00192E38"/>
    <w:rsid w:val="001955FD"/>
    <w:rsid w:val="001961E2"/>
    <w:rsid w:val="00196481"/>
    <w:rsid w:val="001968A0"/>
    <w:rsid w:val="001969C0"/>
    <w:rsid w:val="00196B82"/>
    <w:rsid w:val="001A47DF"/>
    <w:rsid w:val="001A5E20"/>
    <w:rsid w:val="001A5EAF"/>
    <w:rsid w:val="001A5FB7"/>
    <w:rsid w:val="001A64CA"/>
    <w:rsid w:val="001A7A52"/>
    <w:rsid w:val="001B0352"/>
    <w:rsid w:val="001B2670"/>
    <w:rsid w:val="001B55CC"/>
    <w:rsid w:val="001B7AF7"/>
    <w:rsid w:val="001B7E5A"/>
    <w:rsid w:val="001C00C5"/>
    <w:rsid w:val="001C2745"/>
    <w:rsid w:val="001C4900"/>
    <w:rsid w:val="001C68DB"/>
    <w:rsid w:val="001D10B5"/>
    <w:rsid w:val="001D463D"/>
    <w:rsid w:val="001D485D"/>
    <w:rsid w:val="001D48B1"/>
    <w:rsid w:val="001D5483"/>
    <w:rsid w:val="001D5DBB"/>
    <w:rsid w:val="001D6A5E"/>
    <w:rsid w:val="001D6DC4"/>
    <w:rsid w:val="001E06B0"/>
    <w:rsid w:val="001E2239"/>
    <w:rsid w:val="001E2A3D"/>
    <w:rsid w:val="001E2ABD"/>
    <w:rsid w:val="001E31D5"/>
    <w:rsid w:val="001E3697"/>
    <w:rsid w:val="001E4070"/>
    <w:rsid w:val="001E48A6"/>
    <w:rsid w:val="001E5BC6"/>
    <w:rsid w:val="001E714B"/>
    <w:rsid w:val="001F19A4"/>
    <w:rsid w:val="001F1F43"/>
    <w:rsid w:val="001F3C68"/>
    <w:rsid w:val="001F4446"/>
    <w:rsid w:val="001F60DF"/>
    <w:rsid w:val="001F6742"/>
    <w:rsid w:val="001F68B2"/>
    <w:rsid w:val="001F702A"/>
    <w:rsid w:val="00201E46"/>
    <w:rsid w:val="002046D3"/>
    <w:rsid w:val="002053E9"/>
    <w:rsid w:val="002057A9"/>
    <w:rsid w:val="00206981"/>
    <w:rsid w:val="00211ED6"/>
    <w:rsid w:val="00212314"/>
    <w:rsid w:val="00212A35"/>
    <w:rsid w:val="0021514D"/>
    <w:rsid w:val="00216096"/>
    <w:rsid w:val="0022086A"/>
    <w:rsid w:val="00222B69"/>
    <w:rsid w:val="00222C6E"/>
    <w:rsid w:val="00224C8C"/>
    <w:rsid w:val="00224EA9"/>
    <w:rsid w:val="00226F33"/>
    <w:rsid w:val="00230129"/>
    <w:rsid w:val="0023094A"/>
    <w:rsid w:val="00230CA7"/>
    <w:rsid w:val="002334D1"/>
    <w:rsid w:val="002369B6"/>
    <w:rsid w:val="00240CC9"/>
    <w:rsid w:val="00240EA2"/>
    <w:rsid w:val="00242CF4"/>
    <w:rsid w:val="00243831"/>
    <w:rsid w:val="00244079"/>
    <w:rsid w:val="0024530C"/>
    <w:rsid w:val="002477A4"/>
    <w:rsid w:val="0025020E"/>
    <w:rsid w:val="00250344"/>
    <w:rsid w:val="00251917"/>
    <w:rsid w:val="00252CD8"/>
    <w:rsid w:val="002555DE"/>
    <w:rsid w:val="002565CF"/>
    <w:rsid w:val="00257AFC"/>
    <w:rsid w:val="002603CB"/>
    <w:rsid w:val="00261614"/>
    <w:rsid w:val="00261851"/>
    <w:rsid w:val="00262073"/>
    <w:rsid w:val="00262660"/>
    <w:rsid w:val="00264492"/>
    <w:rsid w:val="00264602"/>
    <w:rsid w:val="00266F01"/>
    <w:rsid w:val="002675E3"/>
    <w:rsid w:val="002711C9"/>
    <w:rsid w:val="0027130E"/>
    <w:rsid w:val="00271408"/>
    <w:rsid w:val="00272834"/>
    <w:rsid w:val="00273C7C"/>
    <w:rsid w:val="00274A86"/>
    <w:rsid w:val="002750E6"/>
    <w:rsid w:val="00276807"/>
    <w:rsid w:val="00277671"/>
    <w:rsid w:val="002803CA"/>
    <w:rsid w:val="00280659"/>
    <w:rsid w:val="00281CBF"/>
    <w:rsid w:val="00281CFB"/>
    <w:rsid w:val="00284383"/>
    <w:rsid w:val="002844FE"/>
    <w:rsid w:val="00284FF5"/>
    <w:rsid w:val="00286473"/>
    <w:rsid w:val="00290165"/>
    <w:rsid w:val="00290CD2"/>
    <w:rsid w:val="00291501"/>
    <w:rsid w:val="00291736"/>
    <w:rsid w:val="0029235C"/>
    <w:rsid w:val="002A0FFB"/>
    <w:rsid w:val="002A15F8"/>
    <w:rsid w:val="002A249D"/>
    <w:rsid w:val="002A2693"/>
    <w:rsid w:val="002A3164"/>
    <w:rsid w:val="002A34AE"/>
    <w:rsid w:val="002A3A71"/>
    <w:rsid w:val="002A4FE5"/>
    <w:rsid w:val="002B0053"/>
    <w:rsid w:val="002B2283"/>
    <w:rsid w:val="002B2333"/>
    <w:rsid w:val="002B4EA7"/>
    <w:rsid w:val="002B5036"/>
    <w:rsid w:val="002C29F5"/>
    <w:rsid w:val="002C3717"/>
    <w:rsid w:val="002C3DE0"/>
    <w:rsid w:val="002C508A"/>
    <w:rsid w:val="002C5980"/>
    <w:rsid w:val="002C5A1C"/>
    <w:rsid w:val="002C6600"/>
    <w:rsid w:val="002C6ED0"/>
    <w:rsid w:val="002C75C8"/>
    <w:rsid w:val="002D1C02"/>
    <w:rsid w:val="002D2198"/>
    <w:rsid w:val="002D2432"/>
    <w:rsid w:val="002D268E"/>
    <w:rsid w:val="002D61CB"/>
    <w:rsid w:val="002D6D48"/>
    <w:rsid w:val="002E157F"/>
    <w:rsid w:val="002E1FAD"/>
    <w:rsid w:val="002E301D"/>
    <w:rsid w:val="002E3FCA"/>
    <w:rsid w:val="002E4AB5"/>
    <w:rsid w:val="002E534A"/>
    <w:rsid w:val="002F175C"/>
    <w:rsid w:val="002F31E9"/>
    <w:rsid w:val="002F4115"/>
    <w:rsid w:val="002F41A9"/>
    <w:rsid w:val="002F6879"/>
    <w:rsid w:val="003046D5"/>
    <w:rsid w:val="00304D41"/>
    <w:rsid w:val="00305C1D"/>
    <w:rsid w:val="00306D3F"/>
    <w:rsid w:val="00312203"/>
    <w:rsid w:val="00313667"/>
    <w:rsid w:val="00313860"/>
    <w:rsid w:val="00320683"/>
    <w:rsid w:val="00320B32"/>
    <w:rsid w:val="003225A1"/>
    <w:rsid w:val="0032303E"/>
    <w:rsid w:val="00323E06"/>
    <w:rsid w:val="0032619E"/>
    <w:rsid w:val="00330869"/>
    <w:rsid w:val="0033166E"/>
    <w:rsid w:val="00331E94"/>
    <w:rsid w:val="00332E1C"/>
    <w:rsid w:val="003345E5"/>
    <w:rsid w:val="00335C5E"/>
    <w:rsid w:val="0033687C"/>
    <w:rsid w:val="0033716E"/>
    <w:rsid w:val="00340637"/>
    <w:rsid w:val="003406D7"/>
    <w:rsid w:val="00340BAA"/>
    <w:rsid w:val="00343C59"/>
    <w:rsid w:val="003443B7"/>
    <w:rsid w:val="00344AB9"/>
    <w:rsid w:val="00344DCA"/>
    <w:rsid w:val="00344F4F"/>
    <w:rsid w:val="00346C99"/>
    <w:rsid w:val="00347F31"/>
    <w:rsid w:val="00351AC0"/>
    <w:rsid w:val="003529D5"/>
    <w:rsid w:val="00353904"/>
    <w:rsid w:val="00355262"/>
    <w:rsid w:val="003556EA"/>
    <w:rsid w:val="0035581F"/>
    <w:rsid w:val="00356CDB"/>
    <w:rsid w:val="00356E89"/>
    <w:rsid w:val="00360E4F"/>
    <w:rsid w:val="00360E8C"/>
    <w:rsid w:val="003623E7"/>
    <w:rsid w:val="003651D3"/>
    <w:rsid w:val="00367352"/>
    <w:rsid w:val="00371A02"/>
    <w:rsid w:val="00371CEE"/>
    <w:rsid w:val="003760F1"/>
    <w:rsid w:val="0037660A"/>
    <w:rsid w:val="00376887"/>
    <w:rsid w:val="0037720D"/>
    <w:rsid w:val="003778E9"/>
    <w:rsid w:val="00377EC8"/>
    <w:rsid w:val="00377F14"/>
    <w:rsid w:val="00382302"/>
    <w:rsid w:val="003828BC"/>
    <w:rsid w:val="00382B76"/>
    <w:rsid w:val="0038306C"/>
    <w:rsid w:val="003836BA"/>
    <w:rsid w:val="00390225"/>
    <w:rsid w:val="00393FEB"/>
    <w:rsid w:val="00394926"/>
    <w:rsid w:val="00396448"/>
    <w:rsid w:val="00397130"/>
    <w:rsid w:val="00397295"/>
    <w:rsid w:val="003A4A2C"/>
    <w:rsid w:val="003B4846"/>
    <w:rsid w:val="003B6D10"/>
    <w:rsid w:val="003B7CF0"/>
    <w:rsid w:val="003C229D"/>
    <w:rsid w:val="003C25E3"/>
    <w:rsid w:val="003C3336"/>
    <w:rsid w:val="003C3B08"/>
    <w:rsid w:val="003C4BB5"/>
    <w:rsid w:val="003C55CE"/>
    <w:rsid w:val="003C588F"/>
    <w:rsid w:val="003D1B26"/>
    <w:rsid w:val="003D3A0B"/>
    <w:rsid w:val="003D6607"/>
    <w:rsid w:val="003E00F3"/>
    <w:rsid w:val="003E1AF7"/>
    <w:rsid w:val="003E3888"/>
    <w:rsid w:val="003E5F30"/>
    <w:rsid w:val="003F14CF"/>
    <w:rsid w:val="003F362E"/>
    <w:rsid w:val="003F399E"/>
    <w:rsid w:val="003F4897"/>
    <w:rsid w:val="003F5169"/>
    <w:rsid w:val="003F5631"/>
    <w:rsid w:val="003F56F2"/>
    <w:rsid w:val="00400A99"/>
    <w:rsid w:val="004010FF"/>
    <w:rsid w:val="00401486"/>
    <w:rsid w:val="00402443"/>
    <w:rsid w:val="00404366"/>
    <w:rsid w:val="0041241A"/>
    <w:rsid w:val="0041366D"/>
    <w:rsid w:val="004139D9"/>
    <w:rsid w:val="004146F0"/>
    <w:rsid w:val="0041663D"/>
    <w:rsid w:val="00417FE9"/>
    <w:rsid w:val="00424D66"/>
    <w:rsid w:val="00425B98"/>
    <w:rsid w:val="00427805"/>
    <w:rsid w:val="00427852"/>
    <w:rsid w:val="00431E4C"/>
    <w:rsid w:val="0043429C"/>
    <w:rsid w:val="004367E4"/>
    <w:rsid w:val="004374DD"/>
    <w:rsid w:val="00440410"/>
    <w:rsid w:val="00441388"/>
    <w:rsid w:val="0044219A"/>
    <w:rsid w:val="00443FD3"/>
    <w:rsid w:val="004450AE"/>
    <w:rsid w:val="00445D57"/>
    <w:rsid w:val="00446A92"/>
    <w:rsid w:val="00447A51"/>
    <w:rsid w:val="00452013"/>
    <w:rsid w:val="00452C7C"/>
    <w:rsid w:val="0045381A"/>
    <w:rsid w:val="00453D67"/>
    <w:rsid w:val="004543CC"/>
    <w:rsid w:val="004553C8"/>
    <w:rsid w:val="0045587E"/>
    <w:rsid w:val="00455893"/>
    <w:rsid w:val="00455D9E"/>
    <w:rsid w:val="00460A9A"/>
    <w:rsid w:val="004618D0"/>
    <w:rsid w:val="004620D4"/>
    <w:rsid w:val="004621FE"/>
    <w:rsid w:val="00463919"/>
    <w:rsid w:val="00463D3F"/>
    <w:rsid w:val="00464165"/>
    <w:rsid w:val="00464A1A"/>
    <w:rsid w:val="004666F5"/>
    <w:rsid w:val="0047047E"/>
    <w:rsid w:val="00470660"/>
    <w:rsid w:val="00470B09"/>
    <w:rsid w:val="00471D68"/>
    <w:rsid w:val="004726AF"/>
    <w:rsid w:val="0047512C"/>
    <w:rsid w:val="00475555"/>
    <w:rsid w:val="00476069"/>
    <w:rsid w:val="00476146"/>
    <w:rsid w:val="00481861"/>
    <w:rsid w:val="00482FCF"/>
    <w:rsid w:val="0048318E"/>
    <w:rsid w:val="004857D5"/>
    <w:rsid w:val="00485F1D"/>
    <w:rsid w:val="004869F7"/>
    <w:rsid w:val="00486B77"/>
    <w:rsid w:val="00491AE1"/>
    <w:rsid w:val="00491E5A"/>
    <w:rsid w:val="00495166"/>
    <w:rsid w:val="0049562D"/>
    <w:rsid w:val="00495C2B"/>
    <w:rsid w:val="004A0F68"/>
    <w:rsid w:val="004A180F"/>
    <w:rsid w:val="004A5C5C"/>
    <w:rsid w:val="004B03EA"/>
    <w:rsid w:val="004B12B9"/>
    <w:rsid w:val="004B4030"/>
    <w:rsid w:val="004B4995"/>
    <w:rsid w:val="004B54F2"/>
    <w:rsid w:val="004B5D13"/>
    <w:rsid w:val="004B77EF"/>
    <w:rsid w:val="004C0C23"/>
    <w:rsid w:val="004C5377"/>
    <w:rsid w:val="004C7B2A"/>
    <w:rsid w:val="004C7B8E"/>
    <w:rsid w:val="004D03F7"/>
    <w:rsid w:val="004D304D"/>
    <w:rsid w:val="004D7C58"/>
    <w:rsid w:val="004D7D60"/>
    <w:rsid w:val="004E219F"/>
    <w:rsid w:val="004E383C"/>
    <w:rsid w:val="004E6864"/>
    <w:rsid w:val="004E6884"/>
    <w:rsid w:val="004F1043"/>
    <w:rsid w:val="004F1552"/>
    <w:rsid w:val="004F1DD4"/>
    <w:rsid w:val="004F2689"/>
    <w:rsid w:val="004F403C"/>
    <w:rsid w:val="004F461A"/>
    <w:rsid w:val="004F51DC"/>
    <w:rsid w:val="004F5290"/>
    <w:rsid w:val="004F5350"/>
    <w:rsid w:val="004F64D4"/>
    <w:rsid w:val="004F6FB8"/>
    <w:rsid w:val="005006F8"/>
    <w:rsid w:val="00500B19"/>
    <w:rsid w:val="005014E2"/>
    <w:rsid w:val="005017DA"/>
    <w:rsid w:val="0050220D"/>
    <w:rsid w:val="00503FA8"/>
    <w:rsid w:val="0050574B"/>
    <w:rsid w:val="00505E68"/>
    <w:rsid w:val="005064D9"/>
    <w:rsid w:val="00507190"/>
    <w:rsid w:val="00507BA7"/>
    <w:rsid w:val="00507F72"/>
    <w:rsid w:val="00510D1F"/>
    <w:rsid w:val="00511384"/>
    <w:rsid w:val="00511BB0"/>
    <w:rsid w:val="005125EC"/>
    <w:rsid w:val="00513EA8"/>
    <w:rsid w:val="005144C3"/>
    <w:rsid w:val="00515C5C"/>
    <w:rsid w:val="0051757B"/>
    <w:rsid w:val="00517DEB"/>
    <w:rsid w:val="00520553"/>
    <w:rsid w:val="00524264"/>
    <w:rsid w:val="00524427"/>
    <w:rsid w:val="005245B9"/>
    <w:rsid w:val="0052525A"/>
    <w:rsid w:val="00526BEC"/>
    <w:rsid w:val="00526CAA"/>
    <w:rsid w:val="00527370"/>
    <w:rsid w:val="00530A17"/>
    <w:rsid w:val="005321A9"/>
    <w:rsid w:val="00536660"/>
    <w:rsid w:val="00536EC5"/>
    <w:rsid w:val="0054423A"/>
    <w:rsid w:val="00545024"/>
    <w:rsid w:val="005450D6"/>
    <w:rsid w:val="005470EC"/>
    <w:rsid w:val="005506CA"/>
    <w:rsid w:val="00551CBA"/>
    <w:rsid w:val="00551EE6"/>
    <w:rsid w:val="00554759"/>
    <w:rsid w:val="00554899"/>
    <w:rsid w:val="00554986"/>
    <w:rsid w:val="0055522D"/>
    <w:rsid w:val="00562047"/>
    <w:rsid w:val="0056423B"/>
    <w:rsid w:val="0056485F"/>
    <w:rsid w:val="005648F1"/>
    <w:rsid w:val="005654C8"/>
    <w:rsid w:val="00566834"/>
    <w:rsid w:val="00567AFF"/>
    <w:rsid w:val="0057026B"/>
    <w:rsid w:val="00571574"/>
    <w:rsid w:val="00572472"/>
    <w:rsid w:val="00572B32"/>
    <w:rsid w:val="0057305A"/>
    <w:rsid w:val="0057439D"/>
    <w:rsid w:val="00574B3C"/>
    <w:rsid w:val="00575A52"/>
    <w:rsid w:val="0057689E"/>
    <w:rsid w:val="0058245D"/>
    <w:rsid w:val="0058383E"/>
    <w:rsid w:val="00587FC5"/>
    <w:rsid w:val="0059278E"/>
    <w:rsid w:val="005931BE"/>
    <w:rsid w:val="005934C1"/>
    <w:rsid w:val="005958EB"/>
    <w:rsid w:val="00595AEB"/>
    <w:rsid w:val="00595C83"/>
    <w:rsid w:val="005A151A"/>
    <w:rsid w:val="005A38FE"/>
    <w:rsid w:val="005A3F26"/>
    <w:rsid w:val="005B050E"/>
    <w:rsid w:val="005B0E9B"/>
    <w:rsid w:val="005B28C8"/>
    <w:rsid w:val="005B31C5"/>
    <w:rsid w:val="005B32B0"/>
    <w:rsid w:val="005B3CB1"/>
    <w:rsid w:val="005B3ECB"/>
    <w:rsid w:val="005B6FA1"/>
    <w:rsid w:val="005C277C"/>
    <w:rsid w:val="005C3689"/>
    <w:rsid w:val="005C4A56"/>
    <w:rsid w:val="005C4CB1"/>
    <w:rsid w:val="005C604F"/>
    <w:rsid w:val="005C6407"/>
    <w:rsid w:val="005C7CBD"/>
    <w:rsid w:val="005D0993"/>
    <w:rsid w:val="005D0FB8"/>
    <w:rsid w:val="005D27B0"/>
    <w:rsid w:val="005D2EA2"/>
    <w:rsid w:val="005D33A7"/>
    <w:rsid w:val="005D4100"/>
    <w:rsid w:val="005D7BA8"/>
    <w:rsid w:val="005E115D"/>
    <w:rsid w:val="005E1E4E"/>
    <w:rsid w:val="005E42FD"/>
    <w:rsid w:val="005F0F21"/>
    <w:rsid w:val="005F13C7"/>
    <w:rsid w:val="005F1EC3"/>
    <w:rsid w:val="005F5528"/>
    <w:rsid w:val="005F583C"/>
    <w:rsid w:val="005F7968"/>
    <w:rsid w:val="005F7BDB"/>
    <w:rsid w:val="006026E3"/>
    <w:rsid w:val="0060333F"/>
    <w:rsid w:val="00610DBE"/>
    <w:rsid w:val="00612845"/>
    <w:rsid w:val="00613B87"/>
    <w:rsid w:val="00613D2F"/>
    <w:rsid w:val="00613ECD"/>
    <w:rsid w:val="00614062"/>
    <w:rsid w:val="00614477"/>
    <w:rsid w:val="0061468D"/>
    <w:rsid w:val="00615190"/>
    <w:rsid w:val="006166C8"/>
    <w:rsid w:val="006168F0"/>
    <w:rsid w:val="006207C0"/>
    <w:rsid w:val="00620DCC"/>
    <w:rsid w:val="006219A0"/>
    <w:rsid w:val="006223EB"/>
    <w:rsid w:val="006237AD"/>
    <w:rsid w:val="00623921"/>
    <w:rsid w:val="0062492D"/>
    <w:rsid w:val="00624B16"/>
    <w:rsid w:val="00625EB2"/>
    <w:rsid w:val="006301FA"/>
    <w:rsid w:val="00630B1B"/>
    <w:rsid w:val="00631539"/>
    <w:rsid w:val="006372A9"/>
    <w:rsid w:val="006427D7"/>
    <w:rsid w:val="006436EA"/>
    <w:rsid w:val="00645A15"/>
    <w:rsid w:val="00647AE7"/>
    <w:rsid w:val="0065428F"/>
    <w:rsid w:val="00656E4F"/>
    <w:rsid w:val="006601CB"/>
    <w:rsid w:val="00660D8E"/>
    <w:rsid w:val="00661274"/>
    <w:rsid w:val="00661329"/>
    <w:rsid w:val="00664B75"/>
    <w:rsid w:val="00665154"/>
    <w:rsid w:val="006658B8"/>
    <w:rsid w:val="006661DE"/>
    <w:rsid w:val="0066695C"/>
    <w:rsid w:val="00666B83"/>
    <w:rsid w:val="00667327"/>
    <w:rsid w:val="006731BF"/>
    <w:rsid w:val="0067324E"/>
    <w:rsid w:val="00674009"/>
    <w:rsid w:val="00677A84"/>
    <w:rsid w:val="0068010E"/>
    <w:rsid w:val="00680F4A"/>
    <w:rsid w:val="00681B32"/>
    <w:rsid w:val="006820D2"/>
    <w:rsid w:val="006828F1"/>
    <w:rsid w:val="00682A74"/>
    <w:rsid w:val="00683E02"/>
    <w:rsid w:val="00687079"/>
    <w:rsid w:val="00690096"/>
    <w:rsid w:val="0069236A"/>
    <w:rsid w:val="006937D6"/>
    <w:rsid w:val="00694124"/>
    <w:rsid w:val="006942E5"/>
    <w:rsid w:val="00696900"/>
    <w:rsid w:val="00697EC4"/>
    <w:rsid w:val="006A1C89"/>
    <w:rsid w:val="006A3C70"/>
    <w:rsid w:val="006A42C8"/>
    <w:rsid w:val="006A6E6B"/>
    <w:rsid w:val="006B0192"/>
    <w:rsid w:val="006B2DB2"/>
    <w:rsid w:val="006B39F7"/>
    <w:rsid w:val="006B69B9"/>
    <w:rsid w:val="006B7935"/>
    <w:rsid w:val="006C3751"/>
    <w:rsid w:val="006C3BF5"/>
    <w:rsid w:val="006C3CBF"/>
    <w:rsid w:val="006C4E66"/>
    <w:rsid w:val="006C5498"/>
    <w:rsid w:val="006C5F1E"/>
    <w:rsid w:val="006C6983"/>
    <w:rsid w:val="006D10B1"/>
    <w:rsid w:val="006D1FF1"/>
    <w:rsid w:val="006E749D"/>
    <w:rsid w:val="006E7635"/>
    <w:rsid w:val="006F15A3"/>
    <w:rsid w:val="006F3D0B"/>
    <w:rsid w:val="006F4144"/>
    <w:rsid w:val="006F51DF"/>
    <w:rsid w:val="006F6454"/>
    <w:rsid w:val="006F673D"/>
    <w:rsid w:val="00700599"/>
    <w:rsid w:val="007006A0"/>
    <w:rsid w:val="00701BAD"/>
    <w:rsid w:val="0070364E"/>
    <w:rsid w:val="007047EF"/>
    <w:rsid w:val="00704D98"/>
    <w:rsid w:val="00705A94"/>
    <w:rsid w:val="00706DBD"/>
    <w:rsid w:val="007077C3"/>
    <w:rsid w:val="0071194D"/>
    <w:rsid w:val="00714031"/>
    <w:rsid w:val="0071417A"/>
    <w:rsid w:val="00714757"/>
    <w:rsid w:val="00716988"/>
    <w:rsid w:val="007209C0"/>
    <w:rsid w:val="00721E1C"/>
    <w:rsid w:val="007224E2"/>
    <w:rsid w:val="00722640"/>
    <w:rsid w:val="00723F91"/>
    <w:rsid w:val="007256C1"/>
    <w:rsid w:val="00725FCA"/>
    <w:rsid w:val="00727C52"/>
    <w:rsid w:val="0073057A"/>
    <w:rsid w:val="00732B1C"/>
    <w:rsid w:val="00735EEE"/>
    <w:rsid w:val="00736190"/>
    <w:rsid w:val="007404BF"/>
    <w:rsid w:val="007406B8"/>
    <w:rsid w:val="00740CE8"/>
    <w:rsid w:val="00740E0E"/>
    <w:rsid w:val="0074173E"/>
    <w:rsid w:val="00746718"/>
    <w:rsid w:val="00747ACF"/>
    <w:rsid w:val="0075244D"/>
    <w:rsid w:val="00753993"/>
    <w:rsid w:val="00754582"/>
    <w:rsid w:val="00755977"/>
    <w:rsid w:val="00755F59"/>
    <w:rsid w:val="007560A8"/>
    <w:rsid w:val="00756BC7"/>
    <w:rsid w:val="007572B5"/>
    <w:rsid w:val="007600F2"/>
    <w:rsid w:val="007615BE"/>
    <w:rsid w:val="00762468"/>
    <w:rsid w:val="00762B7A"/>
    <w:rsid w:val="00763762"/>
    <w:rsid w:val="00766DF1"/>
    <w:rsid w:val="0077012A"/>
    <w:rsid w:val="007711A6"/>
    <w:rsid w:val="007741BE"/>
    <w:rsid w:val="0077692F"/>
    <w:rsid w:val="007843E5"/>
    <w:rsid w:val="00785D9E"/>
    <w:rsid w:val="00787226"/>
    <w:rsid w:val="00791674"/>
    <w:rsid w:val="00792807"/>
    <w:rsid w:val="00792A3E"/>
    <w:rsid w:val="00793CBF"/>
    <w:rsid w:val="00795BD1"/>
    <w:rsid w:val="00795BF8"/>
    <w:rsid w:val="00796410"/>
    <w:rsid w:val="00796677"/>
    <w:rsid w:val="007A638C"/>
    <w:rsid w:val="007A6C92"/>
    <w:rsid w:val="007A7984"/>
    <w:rsid w:val="007A7CC1"/>
    <w:rsid w:val="007B0087"/>
    <w:rsid w:val="007B194E"/>
    <w:rsid w:val="007B236D"/>
    <w:rsid w:val="007B28CF"/>
    <w:rsid w:val="007B700A"/>
    <w:rsid w:val="007C22E3"/>
    <w:rsid w:val="007C5EDA"/>
    <w:rsid w:val="007D009E"/>
    <w:rsid w:val="007D4203"/>
    <w:rsid w:val="007D4E71"/>
    <w:rsid w:val="007D624D"/>
    <w:rsid w:val="007D63DB"/>
    <w:rsid w:val="007D6BFA"/>
    <w:rsid w:val="007D6DB8"/>
    <w:rsid w:val="007D707B"/>
    <w:rsid w:val="007D72E8"/>
    <w:rsid w:val="007E0017"/>
    <w:rsid w:val="007E2967"/>
    <w:rsid w:val="007F135E"/>
    <w:rsid w:val="007F2DE7"/>
    <w:rsid w:val="007F451A"/>
    <w:rsid w:val="007F6835"/>
    <w:rsid w:val="00801219"/>
    <w:rsid w:val="00801527"/>
    <w:rsid w:val="00801798"/>
    <w:rsid w:val="008026F1"/>
    <w:rsid w:val="0080294A"/>
    <w:rsid w:val="00802986"/>
    <w:rsid w:val="008031D5"/>
    <w:rsid w:val="008061C4"/>
    <w:rsid w:val="008072A2"/>
    <w:rsid w:val="00807A35"/>
    <w:rsid w:val="0081359A"/>
    <w:rsid w:val="0081448D"/>
    <w:rsid w:val="00814930"/>
    <w:rsid w:val="0081790B"/>
    <w:rsid w:val="0082010F"/>
    <w:rsid w:val="008208C6"/>
    <w:rsid w:val="00820CD6"/>
    <w:rsid w:val="0082365F"/>
    <w:rsid w:val="00823D9A"/>
    <w:rsid w:val="008240D2"/>
    <w:rsid w:val="0082464D"/>
    <w:rsid w:val="008252A9"/>
    <w:rsid w:val="00825BB3"/>
    <w:rsid w:val="008275F9"/>
    <w:rsid w:val="00827AFA"/>
    <w:rsid w:val="00827E72"/>
    <w:rsid w:val="00827E79"/>
    <w:rsid w:val="00830480"/>
    <w:rsid w:val="00830899"/>
    <w:rsid w:val="00830B3F"/>
    <w:rsid w:val="00831793"/>
    <w:rsid w:val="00832596"/>
    <w:rsid w:val="00832CD6"/>
    <w:rsid w:val="00833066"/>
    <w:rsid w:val="008363D2"/>
    <w:rsid w:val="00836715"/>
    <w:rsid w:val="00837813"/>
    <w:rsid w:val="00845075"/>
    <w:rsid w:val="008451E8"/>
    <w:rsid w:val="0085135A"/>
    <w:rsid w:val="00851FED"/>
    <w:rsid w:val="008532C7"/>
    <w:rsid w:val="00855283"/>
    <w:rsid w:val="008556A6"/>
    <w:rsid w:val="008561B0"/>
    <w:rsid w:val="00856255"/>
    <w:rsid w:val="008573C2"/>
    <w:rsid w:val="00862440"/>
    <w:rsid w:val="00866431"/>
    <w:rsid w:val="00867741"/>
    <w:rsid w:val="00867E08"/>
    <w:rsid w:val="0087001C"/>
    <w:rsid w:val="00874A1D"/>
    <w:rsid w:val="00875BD4"/>
    <w:rsid w:val="00875E96"/>
    <w:rsid w:val="00876A65"/>
    <w:rsid w:val="00881975"/>
    <w:rsid w:val="00882EFB"/>
    <w:rsid w:val="00883ECB"/>
    <w:rsid w:val="0088582D"/>
    <w:rsid w:val="008870CC"/>
    <w:rsid w:val="00887BB8"/>
    <w:rsid w:val="00890920"/>
    <w:rsid w:val="00891E83"/>
    <w:rsid w:val="00893454"/>
    <w:rsid w:val="00894135"/>
    <w:rsid w:val="00894518"/>
    <w:rsid w:val="00895620"/>
    <w:rsid w:val="00896664"/>
    <w:rsid w:val="008A1BBC"/>
    <w:rsid w:val="008A456D"/>
    <w:rsid w:val="008A7C39"/>
    <w:rsid w:val="008A7FED"/>
    <w:rsid w:val="008B0B49"/>
    <w:rsid w:val="008B0EC2"/>
    <w:rsid w:val="008B25C5"/>
    <w:rsid w:val="008B2E03"/>
    <w:rsid w:val="008B2F10"/>
    <w:rsid w:val="008B4A26"/>
    <w:rsid w:val="008B5C0E"/>
    <w:rsid w:val="008B74F5"/>
    <w:rsid w:val="008C0A20"/>
    <w:rsid w:val="008C115E"/>
    <w:rsid w:val="008C15AE"/>
    <w:rsid w:val="008C1706"/>
    <w:rsid w:val="008C1993"/>
    <w:rsid w:val="008C1E12"/>
    <w:rsid w:val="008C35F5"/>
    <w:rsid w:val="008C3760"/>
    <w:rsid w:val="008C5D4C"/>
    <w:rsid w:val="008C68F9"/>
    <w:rsid w:val="008C7CCD"/>
    <w:rsid w:val="008D0E42"/>
    <w:rsid w:val="008D4A86"/>
    <w:rsid w:val="008D4CE0"/>
    <w:rsid w:val="008D5994"/>
    <w:rsid w:val="008D6114"/>
    <w:rsid w:val="008D647E"/>
    <w:rsid w:val="008E06E9"/>
    <w:rsid w:val="008E1999"/>
    <w:rsid w:val="008E2692"/>
    <w:rsid w:val="008E2D0E"/>
    <w:rsid w:val="008E3C81"/>
    <w:rsid w:val="008E7716"/>
    <w:rsid w:val="008F0D99"/>
    <w:rsid w:val="008F110D"/>
    <w:rsid w:val="008F1C4E"/>
    <w:rsid w:val="008F1C65"/>
    <w:rsid w:val="008F66CA"/>
    <w:rsid w:val="008F77D7"/>
    <w:rsid w:val="00901745"/>
    <w:rsid w:val="00901D80"/>
    <w:rsid w:val="00903713"/>
    <w:rsid w:val="0090525C"/>
    <w:rsid w:val="009057D7"/>
    <w:rsid w:val="00905DB0"/>
    <w:rsid w:val="009061D9"/>
    <w:rsid w:val="00906925"/>
    <w:rsid w:val="009079B5"/>
    <w:rsid w:val="00910584"/>
    <w:rsid w:val="009119F0"/>
    <w:rsid w:val="00914A50"/>
    <w:rsid w:val="00914F40"/>
    <w:rsid w:val="00914F95"/>
    <w:rsid w:val="009151C5"/>
    <w:rsid w:val="009201BB"/>
    <w:rsid w:val="00921A17"/>
    <w:rsid w:val="00921F85"/>
    <w:rsid w:val="0092572F"/>
    <w:rsid w:val="009266D4"/>
    <w:rsid w:val="009341E5"/>
    <w:rsid w:val="00936ACA"/>
    <w:rsid w:val="00936F46"/>
    <w:rsid w:val="00936F86"/>
    <w:rsid w:val="00937881"/>
    <w:rsid w:val="0094151F"/>
    <w:rsid w:val="00945D3D"/>
    <w:rsid w:val="009505AC"/>
    <w:rsid w:val="009507BA"/>
    <w:rsid w:val="0095198C"/>
    <w:rsid w:val="0095294C"/>
    <w:rsid w:val="00952A2E"/>
    <w:rsid w:val="009535CB"/>
    <w:rsid w:val="00954271"/>
    <w:rsid w:val="009553A8"/>
    <w:rsid w:val="00956803"/>
    <w:rsid w:val="009574BC"/>
    <w:rsid w:val="00960520"/>
    <w:rsid w:val="009610AB"/>
    <w:rsid w:val="00964B3C"/>
    <w:rsid w:val="009650B6"/>
    <w:rsid w:val="00965436"/>
    <w:rsid w:val="0096750A"/>
    <w:rsid w:val="0097046A"/>
    <w:rsid w:val="0097162D"/>
    <w:rsid w:val="00975808"/>
    <w:rsid w:val="00975C6E"/>
    <w:rsid w:val="009760E8"/>
    <w:rsid w:val="00981482"/>
    <w:rsid w:val="0098247A"/>
    <w:rsid w:val="009852B0"/>
    <w:rsid w:val="00985F65"/>
    <w:rsid w:val="00987336"/>
    <w:rsid w:val="009915CE"/>
    <w:rsid w:val="00992E47"/>
    <w:rsid w:val="00993957"/>
    <w:rsid w:val="009955D0"/>
    <w:rsid w:val="00995961"/>
    <w:rsid w:val="0099764C"/>
    <w:rsid w:val="00997E3D"/>
    <w:rsid w:val="009A1C06"/>
    <w:rsid w:val="009A3703"/>
    <w:rsid w:val="009A4717"/>
    <w:rsid w:val="009A5650"/>
    <w:rsid w:val="009A576A"/>
    <w:rsid w:val="009A7671"/>
    <w:rsid w:val="009B187A"/>
    <w:rsid w:val="009B1F48"/>
    <w:rsid w:val="009B3F79"/>
    <w:rsid w:val="009B41E1"/>
    <w:rsid w:val="009B4B1A"/>
    <w:rsid w:val="009B6246"/>
    <w:rsid w:val="009B63FC"/>
    <w:rsid w:val="009C033C"/>
    <w:rsid w:val="009C07B3"/>
    <w:rsid w:val="009C23F5"/>
    <w:rsid w:val="009C37BE"/>
    <w:rsid w:val="009C4E6F"/>
    <w:rsid w:val="009C61AC"/>
    <w:rsid w:val="009C6F68"/>
    <w:rsid w:val="009C7BF7"/>
    <w:rsid w:val="009D1E39"/>
    <w:rsid w:val="009D2FC5"/>
    <w:rsid w:val="009D4150"/>
    <w:rsid w:val="009D48D9"/>
    <w:rsid w:val="009D4D00"/>
    <w:rsid w:val="009D50D8"/>
    <w:rsid w:val="009D5709"/>
    <w:rsid w:val="009D7075"/>
    <w:rsid w:val="009D7985"/>
    <w:rsid w:val="009E0025"/>
    <w:rsid w:val="009E0B12"/>
    <w:rsid w:val="009E0D21"/>
    <w:rsid w:val="009E22C8"/>
    <w:rsid w:val="009E44F3"/>
    <w:rsid w:val="009E4DC4"/>
    <w:rsid w:val="009E65DC"/>
    <w:rsid w:val="009F09E3"/>
    <w:rsid w:val="009F1132"/>
    <w:rsid w:val="009F280B"/>
    <w:rsid w:val="009F299C"/>
    <w:rsid w:val="009F2F5B"/>
    <w:rsid w:val="009F3F54"/>
    <w:rsid w:val="009F4984"/>
    <w:rsid w:val="009F4DD1"/>
    <w:rsid w:val="009F5B61"/>
    <w:rsid w:val="009F5D87"/>
    <w:rsid w:val="009F7A9C"/>
    <w:rsid w:val="00A005F0"/>
    <w:rsid w:val="00A00B2D"/>
    <w:rsid w:val="00A00D2E"/>
    <w:rsid w:val="00A014B4"/>
    <w:rsid w:val="00A01A65"/>
    <w:rsid w:val="00A0218F"/>
    <w:rsid w:val="00A03420"/>
    <w:rsid w:val="00A0632A"/>
    <w:rsid w:val="00A07C2A"/>
    <w:rsid w:val="00A10191"/>
    <w:rsid w:val="00A129D8"/>
    <w:rsid w:val="00A13900"/>
    <w:rsid w:val="00A14607"/>
    <w:rsid w:val="00A17C68"/>
    <w:rsid w:val="00A20F56"/>
    <w:rsid w:val="00A213BF"/>
    <w:rsid w:val="00A22015"/>
    <w:rsid w:val="00A22212"/>
    <w:rsid w:val="00A2550C"/>
    <w:rsid w:val="00A26AD1"/>
    <w:rsid w:val="00A27139"/>
    <w:rsid w:val="00A27C20"/>
    <w:rsid w:val="00A31404"/>
    <w:rsid w:val="00A32255"/>
    <w:rsid w:val="00A3320A"/>
    <w:rsid w:val="00A3464A"/>
    <w:rsid w:val="00A350B5"/>
    <w:rsid w:val="00A3599D"/>
    <w:rsid w:val="00A36591"/>
    <w:rsid w:val="00A4134E"/>
    <w:rsid w:val="00A41BC1"/>
    <w:rsid w:val="00A43333"/>
    <w:rsid w:val="00A4365F"/>
    <w:rsid w:val="00A45808"/>
    <w:rsid w:val="00A46BA0"/>
    <w:rsid w:val="00A54785"/>
    <w:rsid w:val="00A54CED"/>
    <w:rsid w:val="00A54E85"/>
    <w:rsid w:val="00A55617"/>
    <w:rsid w:val="00A60712"/>
    <w:rsid w:val="00A615EF"/>
    <w:rsid w:val="00A61905"/>
    <w:rsid w:val="00A640FA"/>
    <w:rsid w:val="00A64303"/>
    <w:rsid w:val="00A64605"/>
    <w:rsid w:val="00A648CE"/>
    <w:rsid w:val="00A64D05"/>
    <w:rsid w:val="00A65509"/>
    <w:rsid w:val="00A66253"/>
    <w:rsid w:val="00A70C27"/>
    <w:rsid w:val="00A72622"/>
    <w:rsid w:val="00A73A53"/>
    <w:rsid w:val="00A75737"/>
    <w:rsid w:val="00A80BFD"/>
    <w:rsid w:val="00A83C5E"/>
    <w:rsid w:val="00A86ED5"/>
    <w:rsid w:val="00A90508"/>
    <w:rsid w:val="00A9052A"/>
    <w:rsid w:val="00A90545"/>
    <w:rsid w:val="00A91BF6"/>
    <w:rsid w:val="00A92069"/>
    <w:rsid w:val="00A92392"/>
    <w:rsid w:val="00A92CBF"/>
    <w:rsid w:val="00A93C3B"/>
    <w:rsid w:val="00A955DD"/>
    <w:rsid w:val="00A95FDA"/>
    <w:rsid w:val="00AA25BD"/>
    <w:rsid w:val="00AA5DEF"/>
    <w:rsid w:val="00AA6072"/>
    <w:rsid w:val="00AA63F0"/>
    <w:rsid w:val="00AB02A4"/>
    <w:rsid w:val="00AB0798"/>
    <w:rsid w:val="00AB07EE"/>
    <w:rsid w:val="00AB23A5"/>
    <w:rsid w:val="00AB2A2B"/>
    <w:rsid w:val="00AB4864"/>
    <w:rsid w:val="00AB4FAB"/>
    <w:rsid w:val="00AB5CC7"/>
    <w:rsid w:val="00AB5DC3"/>
    <w:rsid w:val="00AB7225"/>
    <w:rsid w:val="00AC0225"/>
    <w:rsid w:val="00AC0452"/>
    <w:rsid w:val="00AC2898"/>
    <w:rsid w:val="00AC44DC"/>
    <w:rsid w:val="00AC481C"/>
    <w:rsid w:val="00AC50B8"/>
    <w:rsid w:val="00AC51F8"/>
    <w:rsid w:val="00AC61B8"/>
    <w:rsid w:val="00AD12A7"/>
    <w:rsid w:val="00AD13B0"/>
    <w:rsid w:val="00AD28B0"/>
    <w:rsid w:val="00AD4E2F"/>
    <w:rsid w:val="00AE001C"/>
    <w:rsid w:val="00AE32DA"/>
    <w:rsid w:val="00AE3FE2"/>
    <w:rsid w:val="00AE41D2"/>
    <w:rsid w:val="00AE6119"/>
    <w:rsid w:val="00AE6508"/>
    <w:rsid w:val="00AF19CE"/>
    <w:rsid w:val="00AF4E0F"/>
    <w:rsid w:val="00AF6B68"/>
    <w:rsid w:val="00B00878"/>
    <w:rsid w:val="00B01A7E"/>
    <w:rsid w:val="00B01F0C"/>
    <w:rsid w:val="00B049FC"/>
    <w:rsid w:val="00B05615"/>
    <w:rsid w:val="00B05826"/>
    <w:rsid w:val="00B059D9"/>
    <w:rsid w:val="00B1170F"/>
    <w:rsid w:val="00B12350"/>
    <w:rsid w:val="00B12379"/>
    <w:rsid w:val="00B12D40"/>
    <w:rsid w:val="00B1694C"/>
    <w:rsid w:val="00B17C53"/>
    <w:rsid w:val="00B17D71"/>
    <w:rsid w:val="00B20DA7"/>
    <w:rsid w:val="00B20E53"/>
    <w:rsid w:val="00B21091"/>
    <w:rsid w:val="00B219E7"/>
    <w:rsid w:val="00B22126"/>
    <w:rsid w:val="00B2397F"/>
    <w:rsid w:val="00B239A0"/>
    <w:rsid w:val="00B2457C"/>
    <w:rsid w:val="00B24A9A"/>
    <w:rsid w:val="00B2554C"/>
    <w:rsid w:val="00B25E22"/>
    <w:rsid w:val="00B262D0"/>
    <w:rsid w:val="00B269E3"/>
    <w:rsid w:val="00B30492"/>
    <w:rsid w:val="00B31DD7"/>
    <w:rsid w:val="00B3366F"/>
    <w:rsid w:val="00B40F0F"/>
    <w:rsid w:val="00B438E7"/>
    <w:rsid w:val="00B43B52"/>
    <w:rsid w:val="00B4508F"/>
    <w:rsid w:val="00B47241"/>
    <w:rsid w:val="00B505E2"/>
    <w:rsid w:val="00B50954"/>
    <w:rsid w:val="00B50B9A"/>
    <w:rsid w:val="00B50F49"/>
    <w:rsid w:val="00B51369"/>
    <w:rsid w:val="00B52608"/>
    <w:rsid w:val="00B53DA2"/>
    <w:rsid w:val="00B5571E"/>
    <w:rsid w:val="00B61A83"/>
    <w:rsid w:val="00B6627C"/>
    <w:rsid w:val="00B66366"/>
    <w:rsid w:val="00B674C6"/>
    <w:rsid w:val="00B67C4B"/>
    <w:rsid w:val="00B742B8"/>
    <w:rsid w:val="00B74351"/>
    <w:rsid w:val="00B75436"/>
    <w:rsid w:val="00B76214"/>
    <w:rsid w:val="00B762D4"/>
    <w:rsid w:val="00B76812"/>
    <w:rsid w:val="00B7780B"/>
    <w:rsid w:val="00B806A1"/>
    <w:rsid w:val="00B81C49"/>
    <w:rsid w:val="00B83747"/>
    <w:rsid w:val="00B837A6"/>
    <w:rsid w:val="00B840E2"/>
    <w:rsid w:val="00B84C47"/>
    <w:rsid w:val="00B85DDE"/>
    <w:rsid w:val="00B867B7"/>
    <w:rsid w:val="00B877D3"/>
    <w:rsid w:val="00B92B23"/>
    <w:rsid w:val="00B938CD"/>
    <w:rsid w:val="00B941DA"/>
    <w:rsid w:val="00BA24A6"/>
    <w:rsid w:val="00BA387F"/>
    <w:rsid w:val="00BA55A4"/>
    <w:rsid w:val="00BA66BB"/>
    <w:rsid w:val="00BB2500"/>
    <w:rsid w:val="00BB2DDF"/>
    <w:rsid w:val="00BB31A4"/>
    <w:rsid w:val="00BB4565"/>
    <w:rsid w:val="00BC0DB8"/>
    <w:rsid w:val="00BC2FFD"/>
    <w:rsid w:val="00BC3B64"/>
    <w:rsid w:val="00BC3FD2"/>
    <w:rsid w:val="00BC7274"/>
    <w:rsid w:val="00BC7E12"/>
    <w:rsid w:val="00BD0C32"/>
    <w:rsid w:val="00BD1E00"/>
    <w:rsid w:val="00BD3641"/>
    <w:rsid w:val="00BD4565"/>
    <w:rsid w:val="00BD48AC"/>
    <w:rsid w:val="00BD6468"/>
    <w:rsid w:val="00BD73E4"/>
    <w:rsid w:val="00BE1376"/>
    <w:rsid w:val="00BE269D"/>
    <w:rsid w:val="00BE28C6"/>
    <w:rsid w:val="00BE2A9D"/>
    <w:rsid w:val="00BE53E7"/>
    <w:rsid w:val="00BE6390"/>
    <w:rsid w:val="00BF054F"/>
    <w:rsid w:val="00BF16A4"/>
    <w:rsid w:val="00BF1C4C"/>
    <w:rsid w:val="00BF3D0C"/>
    <w:rsid w:val="00BF414D"/>
    <w:rsid w:val="00BF56AF"/>
    <w:rsid w:val="00BF584D"/>
    <w:rsid w:val="00BF656F"/>
    <w:rsid w:val="00BF65B1"/>
    <w:rsid w:val="00BF7A38"/>
    <w:rsid w:val="00C0046F"/>
    <w:rsid w:val="00C0102D"/>
    <w:rsid w:val="00C02105"/>
    <w:rsid w:val="00C038EA"/>
    <w:rsid w:val="00C06DDD"/>
    <w:rsid w:val="00C07F56"/>
    <w:rsid w:val="00C07FED"/>
    <w:rsid w:val="00C10A92"/>
    <w:rsid w:val="00C115E0"/>
    <w:rsid w:val="00C14D52"/>
    <w:rsid w:val="00C15D25"/>
    <w:rsid w:val="00C15DD8"/>
    <w:rsid w:val="00C17E8A"/>
    <w:rsid w:val="00C200AF"/>
    <w:rsid w:val="00C21D7B"/>
    <w:rsid w:val="00C24D4C"/>
    <w:rsid w:val="00C25621"/>
    <w:rsid w:val="00C270A9"/>
    <w:rsid w:val="00C27259"/>
    <w:rsid w:val="00C32922"/>
    <w:rsid w:val="00C33B87"/>
    <w:rsid w:val="00C3769F"/>
    <w:rsid w:val="00C40E8B"/>
    <w:rsid w:val="00C41778"/>
    <w:rsid w:val="00C425C3"/>
    <w:rsid w:val="00C42673"/>
    <w:rsid w:val="00C44BE9"/>
    <w:rsid w:val="00C45A70"/>
    <w:rsid w:val="00C47688"/>
    <w:rsid w:val="00C47A34"/>
    <w:rsid w:val="00C47B87"/>
    <w:rsid w:val="00C5109C"/>
    <w:rsid w:val="00C547C8"/>
    <w:rsid w:val="00C607C2"/>
    <w:rsid w:val="00C61101"/>
    <w:rsid w:val="00C63EC1"/>
    <w:rsid w:val="00C6424C"/>
    <w:rsid w:val="00C64A65"/>
    <w:rsid w:val="00C657AB"/>
    <w:rsid w:val="00C657C2"/>
    <w:rsid w:val="00C72D0D"/>
    <w:rsid w:val="00C74D29"/>
    <w:rsid w:val="00C757FC"/>
    <w:rsid w:val="00C7778C"/>
    <w:rsid w:val="00C77912"/>
    <w:rsid w:val="00C77C9D"/>
    <w:rsid w:val="00C81CB4"/>
    <w:rsid w:val="00C82414"/>
    <w:rsid w:val="00C857F1"/>
    <w:rsid w:val="00C8593A"/>
    <w:rsid w:val="00C860CA"/>
    <w:rsid w:val="00C86AB3"/>
    <w:rsid w:val="00C938A8"/>
    <w:rsid w:val="00C95874"/>
    <w:rsid w:val="00CA1677"/>
    <w:rsid w:val="00CA3054"/>
    <w:rsid w:val="00CA377C"/>
    <w:rsid w:val="00CA3E29"/>
    <w:rsid w:val="00CA60B3"/>
    <w:rsid w:val="00CA637F"/>
    <w:rsid w:val="00CA6CC8"/>
    <w:rsid w:val="00CA7966"/>
    <w:rsid w:val="00CB37AD"/>
    <w:rsid w:val="00CB3F04"/>
    <w:rsid w:val="00CB4E2B"/>
    <w:rsid w:val="00CB4EB5"/>
    <w:rsid w:val="00CB5EC8"/>
    <w:rsid w:val="00CB647A"/>
    <w:rsid w:val="00CB71CF"/>
    <w:rsid w:val="00CC028D"/>
    <w:rsid w:val="00CC1649"/>
    <w:rsid w:val="00CC1D35"/>
    <w:rsid w:val="00CC2D9A"/>
    <w:rsid w:val="00CC3F4C"/>
    <w:rsid w:val="00CC4E5C"/>
    <w:rsid w:val="00CC5A1C"/>
    <w:rsid w:val="00CC6F17"/>
    <w:rsid w:val="00CD2C36"/>
    <w:rsid w:val="00CD478F"/>
    <w:rsid w:val="00CD7BC0"/>
    <w:rsid w:val="00CE20E4"/>
    <w:rsid w:val="00CE5BF8"/>
    <w:rsid w:val="00CE6312"/>
    <w:rsid w:val="00CE6DB3"/>
    <w:rsid w:val="00CE78DD"/>
    <w:rsid w:val="00CF1D54"/>
    <w:rsid w:val="00CF2DD7"/>
    <w:rsid w:val="00CF3D44"/>
    <w:rsid w:val="00CF4D6B"/>
    <w:rsid w:val="00CF6CCB"/>
    <w:rsid w:val="00CF7909"/>
    <w:rsid w:val="00CF7DEA"/>
    <w:rsid w:val="00D00754"/>
    <w:rsid w:val="00D018AA"/>
    <w:rsid w:val="00D01E83"/>
    <w:rsid w:val="00D02811"/>
    <w:rsid w:val="00D03709"/>
    <w:rsid w:val="00D06093"/>
    <w:rsid w:val="00D06F45"/>
    <w:rsid w:val="00D07376"/>
    <w:rsid w:val="00D07AF8"/>
    <w:rsid w:val="00D07D36"/>
    <w:rsid w:val="00D10066"/>
    <w:rsid w:val="00D103D7"/>
    <w:rsid w:val="00D13E88"/>
    <w:rsid w:val="00D1517A"/>
    <w:rsid w:val="00D1574E"/>
    <w:rsid w:val="00D15795"/>
    <w:rsid w:val="00D15F5E"/>
    <w:rsid w:val="00D160F7"/>
    <w:rsid w:val="00D163FE"/>
    <w:rsid w:val="00D20525"/>
    <w:rsid w:val="00D21546"/>
    <w:rsid w:val="00D220C9"/>
    <w:rsid w:val="00D23B9E"/>
    <w:rsid w:val="00D24CE4"/>
    <w:rsid w:val="00D2575A"/>
    <w:rsid w:val="00D25BE3"/>
    <w:rsid w:val="00D25F20"/>
    <w:rsid w:val="00D26B92"/>
    <w:rsid w:val="00D2714F"/>
    <w:rsid w:val="00D32BC4"/>
    <w:rsid w:val="00D337AF"/>
    <w:rsid w:val="00D349E6"/>
    <w:rsid w:val="00D354FB"/>
    <w:rsid w:val="00D452C8"/>
    <w:rsid w:val="00D4697C"/>
    <w:rsid w:val="00D4753B"/>
    <w:rsid w:val="00D51322"/>
    <w:rsid w:val="00D52A3E"/>
    <w:rsid w:val="00D54A2A"/>
    <w:rsid w:val="00D54C66"/>
    <w:rsid w:val="00D561D1"/>
    <w:rsid w:val="00D5652B"/>
    <w:rsid w:val="00D579E8"/>
    <w:rsid w:val="00D57B10"/>
    <w:rsid w:val="00D62E23"/>
    <w:rsid w:val="00D64810"/>
    <w:rsid w:val="00D702D4"/>
    <w:rsid w:val="00D70850"/>
    <w:rsid w:val="00D71540"/>
    <w:rsid w:val="00D754F7"/>
    <w:rsid w:val="00D77826"/>
    <w:rsid w:val="00D81711"/>
    <w:rsid w:val="00D82F3D"/>
    <w:rsid w:val="00D84282"/>
    <w:rsid w:val="00D87B4B"/>
    <w:rsid w:val="00D87FFD"/>
    <w:rsid w:val="00D91598"/>
    <w:rsid w:val="00D91FDE"/>
    <w:rsid w:val="00D91FDF"/>
    <w:rsid w:val="00D93738"/>
    <w:rsid w:val="00D96912"/>
    <w:rsid w:val="00D979C0"/>
    <w:rsid w:val="00DA1CC3"/>
    <w:rsid w:val="00DA1DD7"/>
    <w:rsid w:val="00DA23ED"/>
    <w:rsid w:val="00DA4976"/>
    <w:rsid w:val="00DA5010"/>
    <w:rsid w:val="00DA5F80"/>
    <w:rsid w:val="00DB22F0"/>
    <w:rsid w:val="00DB3CDA"/>
    <w:rsid w:val="00DB58BD"/>
    <w:rsid w:val="00DB5AE2"/>
    <w:rsid w:val="00DC291B"/>
    <w:rsid w:val="00DC41B7"/>
    <w:rsid w:val="00DC5789"/>
    <w:rsid w:val="00DC5F15"/>
    <w:rsid w:val="00DC675A"/>
    <w:rsid w:val="00DC7B22"/>
    <w:rsid w:val="00DC7CA9"/>
    <w:rsid w:val="00DD1342"/>
    <w:rsid w:val="00DD3404"/>
    <w:rsid w:val="00DD436A"/>
    <w:rsid w:val="00DD4EC0"/>
    <w:rsid w:val="00DD6AA3"/>
    <w:rsid w:val="00DE08AD"/>
    <w:rsid w:val="00DE0B72"/>
    <w:rsid w:val="00DE1EAE"/>
    <w:rsid w:val="00DE1FE0"/>
    <w:rsid w:val="00DE57C6"/>
    <w:rsid w:val="00DE5BFA"/>
    <w:rsid w:val="00DE6807"/>
    <w:rsid w:val="00DE7354"/>
    <w:rsid w:val="00DE73D3"/>
    <w:rsid w:val="00DF00A6"/>
    <w:rsid w:val="00DF323E"/>
    <w:rsid w:val="00DF4125"/>
    <w:rsid w:val="00DF4221"/>
    <w:rsid w:val="00DF4CB2"/>
    <w:rsid w:val="00E00BF0"/>
    <w:rsid w:val="00E015CF"/>
    <w:rsid w:val="00E02E8A"/>
    <w:rsid w:val="00E0323B"/>
    <w:rsid w:val="00E03C85"/>
    <w:rsid w:val="00E04EEB"/>
    <w:rsid w:val="00E05FBF"/>
    <w:rsid w:val="00E070FC"/>
    <w:rsid w:val="00E077C1"/>
    <w:rsid w:val="00E11B02"/>
    <w:rsid w:val="00E13E23"/>
    <w:rsid w:val="00E15A83"/>
    <w:rsid w:val="00E167AF"/>
    <w:rsid w:val="00E16A70"/>
    <w:rsid w:val="00E207FC"/>
    <w:rsid w:val="00E231DB"/>
    <w:rsid w:val="00E23C7A"/>
    <w:rsid w:val="00E2489B"/>
    <w:rsid w:val="00E30287"/>
    <w:rsid w:val="00E33157"/>
    <w:rsid w:val="00E33DA1"/>
    <w:rsid w:val="00E33E6A"/>
    <w:rsid w:val="00E40E34"/>
    <w:rsid w:val="00E43D76"/>
    <w:rsid w:val="00E52531"/>
    <w:rsid w:val="00E5285D"/>
    <w:rsid w:val="00E546BE"/>
    <w:rsid w:val="00E55281"/>
    <w:rsid w:val="00E56540"/>
    <w:rsid w:val="00E56AF2"/>
    <w:rsid w:val="00E57A4D"/>
    <w:rsid w:val="00E57EA9"/>
    <w:rsid w:val="00E608BD"/>
    <w:rsid w:val="00E60F9F"/>
    <w:rsid w:val="00E629FD"/>
    <w:rsid w:val="00E62EDD"/>
    <w:rsid w:val="00E63129"/>
    <w:rsid w:val="00E6425C"/>
    <w:rsid w:val="00E651DF"/>
    <w:rsid w:val="00E65ECE"/>
    <w:rsid w:val="00E6652E"/>
    <w:rsid w:val="00E668E6"/>
    <w:rsid w:val="00E670FE"/>
    <w:rsid w:val="00E7465A"/>
    <w:rsid w:val="00E74B10"/>
    <w:rsid w:val="00E756D6"/>
    <w:rsid w:val="00E75909"/>
    <w:rsid w:val="00E75A27"/>
    <w:rsid w:val="00E80ECD"/>
    <w:rsid w:val="00E81F21"/>
    <w:rsid w:val="00E83235"/>
    <w:rsid w:val="00E83F5E"/>
    <w:rsid w:val="00E8478A"/>
    <w:rsid w:val="00E85007"/>
    <w:rsid w:val="00E86373"/>
    <w:rsid w:val="00E92F04"/>
    <w:rsid w:val="00E943D6"/>
    <w:rsid w:val="00E94639"/>
    <w:rsid w:val="00E97D08"/>
    <w:rsid w:val="00EA0887"/>
    <w:rsid w:val="00EA1D98"/>
    <w:rsid w:val="00EA40F2"/>
    <w:rsid w:val="00EA4C6C"/>
    <w:rsid w:val="00EB1280"/>
    <w:rsid w:val="00EB2A11"/>
    <w:rsid w:val="00EB2ED5"/>
    <w:rsid w:val="00EB2F11"/>
    <w:rsid w:val="00EB3BE2"/>
    <w:rsid w:val="00EB4345"/>
    <w:rsid w:val="00EB53F1"/>
    <w:rsid w:val="00EB6795"/>
    <w:rsid w:val="00EC1D9A"/>
    <w:rsid w:val="00EC1F08"/>
    <w:rsid w:val="00EC295A"/>
    <w:rsid w:val="00EC4829"/>
    <w:rsid w:val="00EC4B8E"/>
    <w:rsid w:val="00EC4ED5"/>
    <w:rsid w:val="00EC675F"/>
    <w:rsid w:val="00ED00E4"/>
    <w:rsid w:val="00ED017B"/>
    <w:rsid w:val="00ED178F"/>
    <w:rsid w:val="00ED5FB1"/>
    <w:rsid w:val="00ED6F49"/>
    <w:rsid w:val="00ED760A"/>
    <w:rsid w:val="00EE0E17"/>
    <w:rsid w:val="00EE1A39"/>
    <w:rsid w:val="00EE2822"/>
    <w:rsid w:val="00EF00E0"/>
    <w:rsid w:val="00EF1718"/>
    <w:rsid w:val="00EF461E"/>
    <w:rsid w:val="00EF6B10"/>
    <w:rsid w:val="00F01A23"/>
    <w:rsid w:val="00F01B3F"/>
    <w:rsid w:val="00F02642"/>
    <w:rsid w:val="00F02CA1"/>
    <w:rsid w:val="00F02D7B"/>
    <w:rsid w:val="00F03257"/>
    <w:rsid w:val="00F0503D"/>
    <w:rsid w:val="00F0597E"/>
    <w:rsid w:val="00F072A6"/>
    <w:rsid w:val="00F07C29"/>
    <w:rsid w:val="00F141F1"/>
    <w:rsid w:val="00F16A96"/>
    <w:rsid w:val="00F2048E"/>
    <w:rsid w:val="00F21405"/>
    <w:rsid w:val="00F21CC3"/>
    <w:rsid w:val="00F22361"/>
    <w:rsid w:val="00F2283F"/>
    <w:rsid w:val="00F23CF1"/>
    <w:rsid w:val="00F23EB4"/>
    <w:rsid w:val="00F23EBA"/>
    <w:rsid w:val="00F242DE"/>
    <w:rsid w:val="00F258CE"/>
    <w:rsid w:val="00F25EF5"/>
    <w:rsid w:val="00F30573"/>
    <w:rsid w:val="00F30EB1"/>
    <w:rsid w:val="00F31A2F"/>
    <w:rsid w:val="00F31E30"/>
    <w:rsid w:val="00F34EA5"/>
    <w:rsid w:val="00F35EE1"/>
    <w:rsid w:val="00F366BD"/>
    <w:rsid w:val="00F36745"/>
    <w:rsid w:val="00F36F10"/>
    <w:rsid w:val="00F374AA"/>
    <w:rsid w:val="00F37D8A"/>
    <w:rsid w:val="00F430AD"/>
    <w:rsid w:val="00F45294"/>
    <w:rsid w:val="00F46F4E"/>
    <w:rsid w:val="00F47DCE"/>
    <w:rsid w:val="00F502A8"/>
    <w:rsid w:val="00F5167A"/>
    <w:rsid w:val="00F52F39"/>
    <w:rsid w:val="00F53B4D"/>
    <w:rsid w:val="00F55BFB"/>
    <w:rsid w:val="00F55D3F"/>
    <w:rsid w:val="00F574AD"/>
    <w:rsid w:val="00F613D2"/>
    <w:rsid w:val="00F62F8D"/>
    <w:rsid w:val="00F64F0C"/>
    <w:rsid w:val="00F67FD3"/>
    <w:rsid w:val="00F7007B"/>
    <w:rsid w:val="00F710FF"/>
    <w:rsid w:val="00F71141"/>
    <w:rsid w:val="00F71E05"/>
    <w:rsid w:val="00F71FFA"/>
    <w:rsid w:val="00F733C9"/>
    <w:rsid w:val="00F76291"/>
    <w:rsid w:val="00F76987"/>
    <w:rsid w:val="00F77FAD"/>
    <w:rsid w:val="00F802B4"/>
    <w:rsid w:val="00F80649"/>
    <w:rsid w:val="00F81FBB"/>
    <w:rsid w:val="00F83D54"/>
    <w:rsid w:val="00F85B42"/>
    <w:rsid w:val="00F864AB"/>
    <w:rsid w:val="00F869CB"/>
    <w:rsid w:val="00F877AA"/>
    <w:rsid w:val="00F920B8"/>
    <w:rsid w:val="00F95596"/>
    <w:rsid w:val="00F962E6"/>
    <w:rsid w:val="00FA0901"/>
    <w:rsid w:val="00FA1585"/>
    <w:rsid w:val="00FA285C"/>
    <w:rsid w:val="00FA2FC5"/>
    <w:rsid w:val="00FA3E9F"/>
    <w:rsid w:val="00FA627F"/>
    <w:rsid w:val="00FA7117"/>
    <w:rsid w:val="00FB4474"/>
    <w:rsid w:val="00FB46C3"/>
    <w:rsid w:val="00FB4EA3"/>
    <w:rsid w:val="00FB7756"/>
    <w:rsid w:val="00FB7AE0"/>
    <w:rsid w:val="00FC00A6"/>
    <w:rsid w:val="00FC0152"/>
    <w:rsid w:val="00FC0253"/>
    <w:rsid w:val="00FC0C43"/>
    <w:rsid w:val="00FC4483"/>
    <w:rsid w:val="00FC50A9"/>
    <w:rsid w:val="00FC59AC"/>
    <w:rsid w:val="00FD1CBD"/>
    <w:rsid w:val="00FD236B"/>
    <w:rsid w:val="00FD7A8F"/>
    <w:rsid w:val="00FD7AA3"/>
    <w:rsid w:val="00FE0AE5"/>
    <w:rsid w:val="00FE167A"/>
    <w:rsid w:val="00FE18D0"/>
    <w:rsid w:val="00FE1C1D"/>
    <w:rsid w:val="00FE2C51"/>
    <w:rsid w:val="00FE4439"/>
    <w:rsid w:val="00FE6257"/>
    <w:rsid w:val="00FE6F02"/>
    <w:rsid w:val="00FE71AF"/>
    <w:rsid w:val="00FF197D"/>
    <w:rsid w:val="00FF1D23"/>
    <w:rsid w:val="00FF3019"/>
    <w:rsid w:val="0E54366E"/>
    <w:rsid w:val="36B10C41"/>
    <w:rsid w:val="5BFBEB04"/>
    <w:rsid w:val="7EBF2446"/>
    <w:rsid w:val="FFFF332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iPriority="39" w:semiHidden="0" w:name="toc 1" w:locked="1"/>
    <w:lsdException w:qFormat="1" w:uiPriority="39" w:semiHidden="0" w:name="toc 2" w:locked="1"/>
    <w:lsdException w:qFormat="1"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iPriority="99" w:semiHidden="0" w:name="Hyperlink" w:locked="1"/>
    <w:lsdException w:uiPriority="99" w:name="FollowedHyperlink" w:locked="1"/>
    <w:lsdException w:qFormat="1" w:unhideWhenUsed="0" w:uiPriority="22" w:semiHidden="0" w:name="Strong" w:locked="1"/>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ascii="仿宋_GB2312"/>
      <w:b/>
      <w:bCs/>
      <w:spacing w:val="-4"/>
      <w:kern w:val="44"/>
      <w:sz w:val="44"/>
      <w:szCs w:val="44"/>
    </w:rPr>
  </w:style>
  <w:style w:type="paragraph" w:styleId="3">
    <w:name w:val="heading 2"/>
    <w:basedOn w:val="1"/>
    <w:next w:val="1"/>
    <w:link w:val="21"/>
    <w:qFormat/>
    <w:uiPriority w:val="0"/>
    <w:pPr>
      <w:spacing w:line="580" w:lineRule="exact"/>
      <w:outlineLvl w:val="1"/>
    </w:pPr>
    <w:rPr>
      <w:rFonts w:ascii="仿宋_GB2312" w:hAnsi="Calibri"/>
      <w:b/>
      <w:kern w:val="0"/>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toc 3"/>
    <w:basedOn w:val="1"/>
    <w:next w:val="1"/>
    <w:semiHidden/>
    <w:unhideWhenUsed/>
    <w:qFormat/>
    <w:locked/>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6">
    <w:name w:val="Plain Text"/>
    <w:basedOn w:val="1"/>
    <w:link w:val="22"/>
    <w:qFormat/>
    <w:uiPriority w:val="99"/>
    <w:pPr>
      <w:widowControl/>
      <w:spacing w:before="100" w:beforeAutospacing="1" w:after="100" w:afterAutospacing="1" w:line="345" w:lineRule="atLeast"/>
      <w:jc w:val="left"/>
    </w:pPr>
    <w:rPr>
      <w:rFonts w:ascii="宋体" w:hAnsi="宋体" w:eastAsia="宋体" w:cs="宋体"/>
      <w:color w:val="333333"/>
      <w:kern w:val="0"/>
      <w:sz w:val="21"/>
      <w:szCs w:val="21"/>
    </w:rPr>
  </w:style>
  <w:style w:type="paragraph" w:styleId="7">
    <w:name w:val="Body Text Indent 2"/>
    <w:basedOn w:val="1"/>
    <w:link w:val="23"/>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8">
    <w:name w:val="Balloon Text"/>
    <w:basedOn w:val="1"/>
    <w:link w:val="32"/>
    <w:semiHidden/>
    <w:unhideWhenUsed/>
    <w:locked/>
    <w:uiPriority w:val="99"/>
    <w:pPr>
      <w:spacing w:line="240" w:lineRule="auto"/>
    </w:pPr>
    <w:rPr>
      <w:sz w:val="18"/>
      <w:szCs w:val="18"/>
    </w:rPr>
  </w:style>
  <w:style w:type="paragraph" w:styleId="9">
    <w:name w:val="footer"/>
    <w:basedOn w:val="1"/>
    <w:link w:val="24"/>
    <w:qFormat/>
    <w:uiPriority w:val="99"/>
    <w:pPr>
      <w:tabs>
        <w:tab w:val="center" w:pos="4153"/>
        <w:tab w:val="right" w:pos="8306"/>
      </w:tabs>
      <w:snapToGrid w:val="0"/>
      <w:spacing w:line="240" w:lineRule="atLeast"/>
      <w:jc w:val="left"/>
    </w:pPr>
    <w:rPr>
      <w:sz w:val="18"/>
      <w:szCs w:val="18"/>
    </w:rPr>
  </w:style>
  <w:style w:type="paragraph" w:styleId="10">
    <w:name w:val="header"/>
    <w:basedOn w:val="1"/>
    <w:link w:val="25"/>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1">
    <w:name w:val="toc 1"/>
    <w:basedOn w:val="1"/>
    <w:next w:val="1"/>
    <w:unhideWhenUsed/>
    <w:qFormat/>
    <w:locked/>
    <w:uiPriority w:val="39"/>
    <w:pPr>
      <w:widowControl/>
      <w:spacing w:after="100" w:line="440" w:lineRule="exact"/>
      <w:jc w:val="left"/>
    </w:pPr>
    <w:rPr>
      <w:rFonts w:ascii="仿宋_GB2312" w:hAnsiTheme="minorHAnsi" w:cstheme="minorBidi"/>
      <w:kern w:val="0"/>
      <w:sz w:val="28"/>
      <w:szCs w:val="22"/>
    </w:rPr>
  </w:style>
  <w:style w:type="paragraph" w:styleId="12">
    <w:name w:val="toc 2"/>
    <w:basedOn w:val="1"/>
    <w:next w:val="1"/>
    <w:unhideWhenUsed/>
    <w:qFormat/>
    <w:locked/>
    <w:uiPriority w:val="39"/>
    <w:pPr>
      <w:widowControl/>
      <w:tabs>
        <w:tab w:val="right" w:leader="dot" w:pos="8834"/>
      </w:tabs>
      <w:spacing w:after="100" w:line="440" w:lineRule="exact"/>
      <w:ind w:left="221"/>
      <w:jc w:val="left"/>
    </w:pPr>
    <w:rPr>
      <w:rFonts w:asciiTheme="minorHAnsi" w:hAnsiTheme="minorHAnsi" w:eastAsiaTheme="minorEastAsia" w:cstheme="minorBidi"/>
      <w:kern w:val="0"/>
      <w:sz w:val="22"/>
      <w:szCs w:val="22"/>
    </w:rPr>
  </w:style>
  <w:style w:type="paragraph" w:styleId="13">
    <w:name w:val="Normal (Web)"/>
    <w:basedOn w:val="1"/>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14">
    <w:name w:val="Title"/>
    <w:basedOn w:val="1"/>
    <w:link w:val="26"/>
    <w:qFormat/>
    <w:uiPriority w:val="99"/>
    <w:pPr>
      <w:spacing w:before="240" w:after="60" w:line="240" w:lineRule="auto"/>
      <w:jc w:val="center"/>
      <w:outlineLvl w:val="0"/>
    </w:pPr>
    <w:rPr>
      <w:rFonts w:ascii="Arial" w:hAnsi="Arial" w:eastAsia="宋体" w:cs="Arial"/>
      <w:b/>
      <w:bCs/>
      <w:szCs w:val="32"/>
    </w:rPr>
  </w:style>
  <w:style w:type="character" w:styleId="17">
    <w:name w:val="page number"/>
    <w:basedOn w:val="16"/>
    <w:qFormat/>
    <w:uiPriority w:val="99"/>
    <w:rPr>
      <w:rFonts w:cs="Times New Roman"/>
    </w:rPr>
  </w:style>
  <w:style w:type="character" w:styleId="18">
    <w:name w:val="Emphasis"/>
    <w:basedOn w:val="16"/>
    <w:qFormat/>
    <w:uiPriority w:val="99"/>
    <w:rPr>
      <w:rFonts w:cs="Times New Roman"/>
      <w:i/>
      <w:iCs/>
    </w:rPr>
  </w:style>
  <w:style w:type="character" w:styleId="19">
    <w:name w:val="Hyperlink"/>
    <w:basedOn w:val="16"/>
    <w:unhideWhenUsed/>
    <w:qFormat/>
    <w:locked/>
    <w:uiPriority w:val="99"/>
    <w:rPr>
      <w:color w:val="0000FF" w:themeColor="hyperlink"/>
      <w:u w:val="single"/>
    </w:rPr>
  </w:style>
  <w:style w:type="character" w:customStyle="1" w:styleId="20">
    <w:name w:val="标题 1 Char"/>
    <w:basedOn w:val="16"/>
    <w:link w:val="2"/>
    <w:qFormat/>
    <w:locked/>
    <w:uiPriority w:val="99"/>
    <w:rPr>
      <w:rFonts w:ascii="仿宋_GB2312" w:hAnsi="Times New Roman" w:eastAsia="仿宋_GB2312" w:cs="Times New Roman"/>
      <w:b/>
      <w:bCs/>
      <w:spacing w:val="-4"/>
      <w:kern w:val="44"/>
      <w:sz w:val="44"/>
      <w:szCs w:val="44"/>
    </w:rPr>
  </w:style>
  <w:style w:type="character" w:customStyle="1" w:styleId="21">
    <w:name w:val="标题 2 Char"/>
    <w:basedOn w:val="16"/>
    <w:link w:val="3"/>
    <w:qFormat/>
    <w:locked/>
    <w:uiPriority w:val="99"/>
    <w:rPr>
      <w:rFonts w:ascii="仿宋_GB2312" w:eastAsia="仿宋_GB2312" w:cs="Times New Roman"/>
      <w:b/>
      <w:sz w:val="32"/>
      <w:szCs w:val="32"/>
    </w:rPr>
  </w:style>
  <w:style w:type="character" w:customStyle="1" w:styleId="22">
    <w:name w:val="纯文本 Char"/>
    <w:basedOn w:val="16"/>
    <w:link w:val="6"/>
    <w:semiHidden/>
    <w:qFormat/>
    <w:locked/>
    <w:uiPriority w:val="99"/>
    <w:rPr>
      <w:rFonts w:ascii="宋体" w:eastAsia="宋体" w:cs="宋体"/>
      <w:color w:val="333333"/>
      <w:sz w:val="21"/>
      <w:szCs w:val="21"/>
    </w:rPr>
  </w:style>
  <w:style w:type="character" w:customStyle="1" w:styleId="23">
    <w:name w:val="正文文本缩进 2 Char"/>
    <w:basedOn w:val="16"/>
    <w:link w:val="7"/>
    <w:semiHidden/>
    <w:qFormat/>
    <w:locked/>
    <w:uiPriority w:val="99"/>
    <w:rPr>
      <w:rFonts w:ascii="宋体" w:eastAsia="宋体" w:cs="宋体"/>
      <w:sz w:val="24"/>
      <w:szCs w:val="24"/>
    </w:rPr>
  </w:style>
  <w:style w:type="character" w:customStyle="1" w:styleId="24">
    <w:name w:val="页脚 Char"/>
    <w:basedOn w:val="16"/>
    <w:link w:val="9"/>
    <w:qFormat/>
    <w:locked/>
    <w:uiPriority w:val="99"/>
    <w:rPr>
      <w:rFonts w:ascii="Times New Roman" w:hAnsi="Times New Roman" w:eastAsia="仿宋_GB2312" w:cs="Times New Roman"/>
      <w:kern w:val="2"/>
      <w:sz w:val="18"/>
      <w:szCs w:val="18"/>
    </w:rPr>
  </w:style>
  <w:style w:type="character" w:customStyle="1" w:styleId="25">
    <w:name w:val="页眉 Char"/>
    <w:basedOn w:val="16"/>
    <w:link w:val="10"/>
    <w:qFormat/>
    <w:locked/>
    <w:uiPriority w:val="99"/>
    <w:rPr>
      <w:rFonts w:ascii="Times New Roman" w:hAnsi="Times New Roman" w:eastAsia="仿宋_GB2312" w:cs="Times New Roman"/>
      <w:kern w:val="2"/>
      <w:sz w:val="18"/>
      <w:szCs w:val="18"/>
    </w:rPr>
  </w:style>
  <w:style w:type="character" w:customStyle="1" w:styleId="26">
    <w:name w:val="标题 Char"/>
    <w:basedOn w:val="16"/>
    <w:link w:val="14"/>
    <w:qFormat/>
    <w:locked/>
    <w:uiPriority w:val="99"/>
    <w:rPr>
      <w:rFonts w:ascii="Arial" w:hAnsi="Arial" w:cs="Arial"/>
      <w:b/>
      <w:bCs/>
      <w:kern w:val="2"/>
      <w:sz w:val="32"/>
      <w:szCs w:val="32"/>
    </w:rPr>
  </w:style>
  <w:style w:type="paragraph" w:customStyle="1" w:styleId="27">
    <w:name w:val="TOC 标题1"/>
    <w:basedOn w:val="2"/>
    <w:next w:val="1"/>
    <w:qFormat/>
    <w:uiPriority w:val="99"/>
    <w:pPr>
      <w:widowControl/>
      <w:spacing w:before="480" w:after="0" w:line="276" w:lineRule="auto"/>
      <w:jc w:val="left"/>
      <w:outlineLvl w:val="9"/>
    </w:pPr>
    <w:rPr>
      <w:rFonts w:ascii="Cambria" w:hAnsi="Cambria" w:eastAsia="宋体"/>
      <w:color w:val="365F91"/>
      <w:spacing w:val="0"/>
      <w:kern w:val="0"/>
      <w:sz w:val="28"/>
      <w:szCs w:val="28"/>
    </w:rPr>
  </w:style>
  <w:style w:type="paragraph" w:customStyle="1" w:styleId="28">
    <w:name w:val="列出段落1"/>
    <w:basedOn w:val="1"/>
    <w:qFormat/>
    <w:uiPriority w:val="99"/>
    <w:pPr>
      <w:ind w:firstLine="420" w:firstLineChars="200"/>
    </w:pPr>
  </w:style>
  <w:style w:type="paragraph" w:customStyle="1" w:styleId="29">
    <w:name w:val="样式5"/>
    <w:basedOn w:val="4"/>
    <w:qFormat/>
    <w:uiPriority w:val="99"/>
    <w:pPr>
      <w:spacing w:line="360" w:lineRule="auto"/>
    </w:pPr>
    <w:rPr>
      <w:rFonts w:eastAsia="宋体"/>
      <w:sz w:val="28"/>
      <w:szCs w:val="21"/>
    </w:rPr>
  </w:style>
  <w:style w:type="paragraph" w:customStyle="1" w:styleId="30">
    <w:name w:val="reader-word-layer"/>
    <w:basedOn w:val="1"/>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customStyle="1" w:styleId="31">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spacing w:val="0"/>
      <w:kern w:val="0"/>
      <w:sz w:val="28"/>
      <w:szCs w:val="28"/>
    </w:rPr>
  </w:style>
  <w:style w:type="character" w:customStyle="1" w:styleId="32">
    <w:name w:val="批注框文本 Char"/>
    <w:basedOn w:val="16"/>
    <w:link w:val="8"/>
    <w:semiHidden/>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shfl</Company>
  <Pages>24</Pages>
  <Words>2070</Words>
  <Characters>11801</Characters>
  <Lines>98</Lines>
  <Paragraphs>27</Paragraphs>
  <TotalTime>174</TotalTime>
  <ScaleCrop>false</ScaleCrop>
  <LinksUpToDate>false</LinksUpToDate>
  <CharactersWithSpaces>13844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2015-10-19T21:28:00Z</dcterms:created>
  <dc:creator>myc</dc:creator>
  <cp:lastModifiedBy>guest</cp:lastModifiedBy>
  <cp:lastPrinted>2015-08-26T20:52:00Z</cp:lastPrinted>
  <dcterms:modified xsi:type="dcterms:W3CDTF">2022-03-14T15:38:00Z</dcterms:modified>
  <dc:title>宝山区气象事业发展“十三五”规划</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